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4513"/>
        <w:gridCol w:w="4513"/>
      </w:tblGrid>
      <w:tr w:rsidR="00D56E35" w:rsidRPr="00D56E35" w:rsidTr="00D56E35">
        <w:trPr>
          <w:tblCellSpacing w:w="0" w:type="dxa"/>
        </w:trPr>
        <w:tc>
          <w:tcPr>
            <w:tcW w:w="0" w:type="auto"/>
            <w:vAlign w:val="center"/>
            <w:hideMark/>
          </w:tcPr>
          <w:p w:rsidR="00D56E35" w:rsidRPr="00D56E35" w:rsidRDefault="00D56E35">
            <w:pPr>
              <w:rPr>
                <w:rFonts w:ascii="Verdana" w:eastAsia="Times New Roman" w:hAnsi="Verdana"/>
                <w:color w:val="4F81BD"/>
                <w:sz w:val="19"/>
                <w:szCs w:val="19"/>
              </w:rPr>
            </w:pPr>
          </w:p>
        </w:tc>
        <w:tc>
          <w:tcPr>
            <w:tcW w:w="0" w:type="auto"/>
            <w:vAlign w:val="center"/>
            <w:hideMark/>
          </w:tcPr>
          <w:p w:rsidR="00D56E35" w:rsidRPr="00D56E35" w:rsidRDefault="00D56E35">
            <w:pPr>
              <w:jc w:val="right"/>
              <w:rPr>
                <w:rFonts w:ascii="Verdana" w:eastAsia="Times New Roman" w:hAnsi="Verdana"/>
                <w:color w:val="4F81BD"/>
                <w:sz w:val="19"/>
                <w:szCs w:val="19"/>
              </w:rPr>
            </w:pPr>
          </w:p>
        </w:tc>
      </w:tr>
    </w:tbl>
    <w:p w:rsidR="00D56E35" w:rsidRDefault="00602E82" w:rsidP="007C358E">
      <w:pPr>
        <w:jc w:val="cente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27.25pt;height:57pt">
            <v:imagedata r:id="rId7" o:title="D11 2281819  AER Logo Outlined type Large colour"/>
          </v:shape>
        </w:pict>
      </w:r>
    </w:p>
    <w:p w:rsidR="00833B95" w:rsidRPr="00833B95" w:rsidRDefault="00833B95" w:rsidP="00833B95">
      <w:pPr>
        <w:jc w:val="center"/>
        <w:rPr>
          <w:b/>
          <w:sz w:val="36"/>
          <w:szCs w:val="36"/>
        </w:rPr>
      </w:pPr>
      <w:r w:rsidRPr="00833B95">
        <w:rPr>
          <w:b/>
          <w:sz w:val="36"/>
          <w:szCs w:val="36"/>
        </w:rPr>
        <w:t>Summary of meeting</w:t>
      </w:r>
    </w:p>
    <w:p w:rsidR="00833B95" w:rsidRDefault="00465380" w:rsidP="00833B95">
      <w:pPr>
        <w:jc w:val="center"/>
        <w:rPr>
          <w:b/>
          <w:sz w:val="32"/>
          <w:szCs w:val="32"/>
        </w:rPr>
      </w:pPr>
      <w:r>
        <w:rPr>
          <w:b/>
          <w:sz w:val="32"/>
          <w:szCs w:val="32"/>
        </w:rPr>
        <w:t>Expenditure Forecast Assessment Guidelines</w:t>
      </w:r>
      <w:r w:rsidR="0064386B">
        <w:rPr>
          <w:b/>
          <w:sz w:val="32"/>
          <w:szCs w:val="32"/>
        </w:rPr>
        <w:t xml:space="preserve"> </w:t>
      </w:r>
      <w:r w:rsidR="00816593">
        <w:rPr>
          <w:b/>
          <w:sz w:val="32"/>
          <w:szCs w:val="32"/>
        </w:rPr>
        <w:t xml:space="preserve">Working Group meeting </w:t>
      </w:r>
      <w:r w:rsidR="0064386B">
        <w:rPr>
          <w:b/>
          <w:sz w:val="32"/>
          <w:szCs w:val="32"/>
        </w:rPr>
        <w:t>No. 4</w:t>
      </w:r>
    </w:p>
    <w:p w:rsidR="00816593" w:rsidRDefault="00816593" w:rsidP="00816593">
      <w:pPr>
        <w:jc w:val="center"/>
        <w:rPr>
          <w:b/>
          <w:sz w:val="32"/>
          <w:szCs w:val="32"/>
        </w:rPr>
      </w:pPr>
      <w:r>
        <w:rPr>
          <w:b/>
          <w:sz w:val="32"/>
          <w:szCs w:val="32"/>
        </w:rPr>
        <w:t>Category assessment – replacement and augmentation capex for distribution businesses</w:t>
      </w:r>
    </w:p>
    <w:p w:rsidR="00833B95" w:rsidRDefault="004C231C" w:rsidP="00833B95">
      <w:pPr>
        <w:jc w:val="center"/>
        <w:rPr>
          <w:b/>
          <w:sz w:val="32"/>
          <w:szCs w:val="32"/>
        </w:rPr>
      </w:pPr>
      <w:r>
        <w:rPr>
          <w:b/>
          <w:sz w:val="32"/>
          <w:szCs w:val="32"/>
        </w:rPr>
        <w:t>8</w:t>
      </w:r>
      <w:r w:rsidR="008F1687">
        <w:rPr>
          <w:b/>
          <w:sz w:val="32"/>
          <w:szCs w:val="32"/>
        </w:rPr>
        <w:t xml:space="preserve"> March </w:t>
      </w:r>
      <w:r w:rsidR="00833B95">
        <w:rPr>
          <w:b/>
          <w:sz w:val="32"/>
          <w:szCs w:val="32"/>
        </w:rPr>
        <w:t>2013</w:t>
      </w:r>
    </w:p>
    <w:p w:rsidR="006E0B37" w:rsidRPr="007C358E" w:rsidRDefault="006E0B37" w:rsidP="007C358E">
      <w:pPr>
        <w:jc w:val="center"/>
        <w:rPr>
          <w:b/>
          <w:sz w:val="32"/>
          <w:szCs w:val="32"/>
        </w:rPr>
      </w:pPr>
      <w:r>
        <w:rPr>
          <w:b/>
          <w:sz w:val="32"/>
          <w:szCs w:val="32"/>
        </w:rPr>
        <w:t>Held via vid</w:t>
      </w:r>
      <w:r w:rsidR="008F1687">
        <w:rPr>
          <w:b/>
          <w:sz w:val="32"/>
          <w:szCs w:val="32"/>
        </w:rPr>
        <w:t>eo link between AER’s Melbourne and</w:t>
      </w:r>
      <w:r w:rsidR="006B4BB9">
        <w:rPr>
          <w:b/>
          <w:sz w:val="32"/>
          <w:szCs w:val="32"/>
        </w:rPr>
        <w:t xml:space="preserve"> </w:t>
      </w:r>
      <w:r>
        <w:rPr>
          <w:b/>
          <w:sz w:val="32"/>
          <w:szCs w:val="32"/>
        </w:rPr>
        <w:t>Sydney offices</w:t>
      </w:r>
    </w:p>
    <w:p w:rsidR="001934EC" w:rsidRDefault="0079222A" w:rsidP="001934EC">
      <w:r>
        <w:t xml:space="preserve">On </w:t>
      </w:r>
      <w:r w:rsidR="004C231C">
        <w:t>8</w:t>
      </w:r>
      <w:r w:rsidR="008F1687">
        <w:t xml:space="preserve"> March</w:t>
      </w:r>
      <w:r>
        <w:t xml:space="preserve"> 2013</w:t>
      </w:r>
      <w:r w:rsidR="003559A5">
        <w:t>, the AER,</w:t>
      </w:r>
      <w:r>
        <w:t xml:space="preserve"> </w:t>
      </w:r>
      <w:r w:rsidR="00A30034">
        <w:t>as</w:t>
      </w:r>
      <w:r w:rsidR="003559A5">
        <w:t xml:space="preserve"> </w:t>
      </w:r>
      <w:r w:rsidR="00A30034">
        <w:t xml:space="preserve">part of </w:t>
      </w:r>
      <w:r w:rsidR="003559A5">
        <w:t>its</w:t>
      </w:r>
      <w:r w:rsidR="00A30034">
        <w:t xml:space="preserve"> </w:t>
      </w:r>
      <w:r w:rsidR="00A30034" w:rsidRPr="00A30034">
        <w:rPr>
          <w:i/>
        </w:rPr>
        <w:t>Better Regulation</w:t>
      </w:r>
      <w:r w:rsidR="00A30034">
        <w:t xml:space="preserve"> package</w:t>
      </w:r>
      <w:r w:rsidR="003559A5">
        <w:t xml:space="preserve">, </w:t>
      </w:r>
      <w:r>
        <w:t xml:space="preserve">hosted a </w:t>
      </w:r>
      <w:r w:rsidR="00816593">
        <w:t xml:space="preserve">working group meeting </w:t>
      </w:r>
      <w:r>
        <w:t xml:space="preserve">on the development of the </w:t>
      </w:r>
      <w:r w:rsidR="006B4BB9">
        <w:t>Expenditure</w:t>
      </w:r>
      <w:r>
        <w:t xml:space="preserve"> </w:t>
      </w:r>
      <w:r w:rsidR="00156BC5">
        <w:t>forecast assessment g</w:t>
      </w:r>
      <w:r>
        <w:t>uidelines</w:t>
      </w:r>
      <w:r w:rsidR="00855FB1">
        <w:t xml:space="preserve"> (the Guidelines)</w:t>
      </w:r>
      <w:r>
        <w:t xml:space="preserve">. </w:t>
      </w:r>
      <w:r w:rsidR="0086601F">
        <w:t xml:space="preserve">The </w:t>
      </w:r>
      <w:r w:rsidR="00816593">
        <w:t xml:space="preserve">meeting </w:t>
      </w:r>
      <w:r w:rsidR="0086601F">
        <w:t xml:space="preserve">was chaired by AER </w:t>
      </w:r>
      <w:r w:rsidR="008F1687">
        <w:t>Director</w:t>
      </w:r>
      <w:r w:rsidR="00C66C8E">
        <w:t>,</w:t>
      </w:r>
      <w:r w:rsidR="008F1687">
        <w:t xml:space="preserve"> Paul Dunn</w:t>
      </w:r>
      <w:r w:rsidR="0086601F">
        <w:t xml:space="preserve">. </w:t>
      </w:r>
      <w:r w:rsidR="001934EC">
        <w:t>A full attendee list can be found in Attachment A.</w:t>
      </w:r>
    </w:p>
    <w:p w:rsidR="006E0B37" w:rsidRDefault="006E0B37" w:rsidP="00D93A70">
      <w:r>
        <w:t xml:space="preserve">This </w:t>
      </w:r>
      <w:r w:rsidR="0086601F">
        <w:t>summary</w:t>
      </w:r>
      <w:r>
        <w:t xml:space="preserve"> outlines the </w:t>
      </w:r>
      <w:r w:rsidR="0086601F">
        <w:t>key topics and themes</w:t>
      </w:r>
      <w:r>
        <w:t xml:space="preserve"> of the meeting, including views expressed </w:t>
      </w:r>
      <w:r w:rsidR="003559A5">
        <w:t xml:space="preserve">at the </w:t>
      </w:r>
      <w:r w:rsidR="00816593">
        <w:t>meeting</w:t>
      </w:r>
      <w:r>
        <w:t xml:space="preserve">, without </w:t>
      </w:r>
      <w:r w:rsidR="003559A5">
        <w:t>ascribing</w:t>
      </w:r>
      <w:r>
        <w:t xml:space="preserve"> particular comments to any one individual or organisation.</w:t>
      </w:r>
      <w:r w:rsidR="00C93043">
        <w:t xml:space="preserve"> The outline </w:t>
      </w:r>
      <w:r w:rsidR="009521DD">
        <w:t xml:space="preserve">broadly </w:t>
      </w:r>
      <w:r w:rsidR="00C93043">
        <w:t>follows that of the agenda.</w:t>
      </w:r>
    </w:p>
    <w:p w:rsidR="00E50CA5" w:rsidRPr="00E50CA5" w:rsidRDefault="00E50CA5" w:rsidP="00D93A70">
      <w:pPr>
        <w:rPr>
          <w:b/>
        </w:rPr>
      </w:pPr>
      <w:r w:rsidRPr="00E50CA5">
        <w:rPr>
          <w:b/>
        </w:rPr>
        <w:t>1</w:t>
      </w:r>
      <w:r w:rsidRPr="00E50CA5">
        <w:rPr>
          <w:b/>
        </w:rPr>
        <w:tab/>
        <w:t>Introductions</w:t>
      </w:r>
    </w:p>
    <w:p w:rsidR="00036F16" w:rsidRDefault="00036F16" w:rsidP="00036F16">
      <w:r>
        <w:t xml:space="preserve">In this workshop, AER </w:t>
      </w:r>
      <w:r w:rsidR="00816593">
        <w:t xml:space="preserve">staff </w:t>
      </w:r>
      <w:r>
        <w:t>sought feedback from stakeholders on the information it would require to assess replacement expenditure (</w:t>
      </w:r>
      <w:proofErr w:type="spellStart"/>
      <w:r>
        <w:t>repex</w:t>
      </w:r>
      <w:proofErr w:type="spellEnd"/>
      <w:r>
        <w:t>) and augmentation expenditure (</w:t>
      </w:r>
      <w:proofErr w:type="spellStart"/>
      <w:r>
        <w:t>augex</w:t>
      </w:r>
      <w:proofErr w:type="spellEnd"/>
      <w:r>
        <w:t>).</w:t>
      </w:r>
      <w:r>
        <w:rPr>
          <w:rStyle w:val="FootnoteReference"/>
        </w:rPr>
        <w:footnoteReference w:id="1"/>
      </w:r>
      <w:r>
        <w:t xml:space="preserve"> This workshop focuses on the information requirements for distribution network service providers (DNSPs). The AER signalled the potential use of the </w:t>
      </w:r>
      <w:proofErr w:type="spellStart"/>
      <w:r>
        <w:t>repex</w:t>
      </w:r>
      <w:proofErr w:type="spellEnd"/>
      <w:r>
        <w:t xml:space="preserve"> and </w:t>
      </w:r>
      <w:proofErr w:type="spellStart"/>
      <w:r>
        <w:t>augex</w:t>
      </w:r>
      <w:proofErr w:type="spellEnd"/>
      <w:r>
        <w:t xml:space="preserve"> models when assessing DNSPs’ capex forecasts.</w:t>
      </w:r>
    </w:p>
    <w:p w:rsidR="00036F16" w:rsidRDefault="00816593" w:rsidP="00036F16">
      <w:r>
        <w:t xml:space="preserve">AER staff highlighted these models are not the only tools it would use to assess </w:t>
      </w:r>
      <w:proofErr w:type="spellStart"/>
      <w:r>
        <w:t>repex</w:t>
      </w:r>
      <w:proofErr w:type="spellEnd"/>
      <w:r>
        <w:t xml:space="preserve"> and </w:t>
      </w:r>
      <w:proofErr w:type="spellStart"/>
      <w:r>
        <w:t>augex</w:t>
      </w:r>
      <w:proofErr w:type="spellEnd"/>
      <w:r>
        <w:t xml:space="preserve"> forecasts, respectively, and would not be used deterministically to set allowances. </w:t>
      </w:r>
      <w:r w:rsidR="00036F16">
        <w:t xml:space="preserve">Rather, they are screening tools that provide the AER an alternative view of capex forecasts, with respect to </w:t>
      </w:r>
      <w:proofErr w:type="spellStart"/>
      <w:r w:rsidR="00036F16">
        <w:t>repex</w:t>
      </w:r>
      <w:proofErr w:type="spellEnd"/>
      <w:r w:rsidR="00036F16">
        <w:t xml:space="preserve"> and </w:t>
      </w:r>
      <w:proofErr w:type="spellStart"/>
      <w:r w:rsidR="00036F16">
        <w:t>augex</w:t>
      </w:r>
      <w:proofErr w:type="spellEnd"/>
      <w:r w:rsidR="00036F16">
        <w:t xml:space="preserve">. Ideally, the models would assist the AER in identifying outliers in </w:t>
      </w:r>
      <w:r w:rsidR="00DA0E96">
        <w:t>D</w:t>
      </w:r>
      <w:r w:rsidR="00036F16">
        <w:t>NSPs’ capex forecasts.</w:t>
      </w:r>
    </w:p>
    <w:p w:rsidR="00BB5941" w:rsidRDefault="00DA0E96" w:rsidP="00036F16">
      <w:r>
        <w:t xml:space="preserve">The AER’s consultant, </w:t>
      </w:r>
      <w:proofErr w:type="spellStart"/>
      <w:r>
        <w:t>Nuttall</w:t>
      </w:r>
      <w:proofErr w:type="spellEnd"/>
      <w:r>
        <w:t xml:space="preserve"> Consulting, summarised the purpose of the </w:t>
      </w:r>
      <w:proofErr w:type="spellStart"/>
      <w:r>
        <w:t>repex</w:t>
      </w:r>
      <w:proofErr w:type="spellEnd"/>
      <w:r>
        <w:t xml:space="preserve"> model and </w:t>
      </w:r>
      <w:proofErr w:type="spellStart"/>
      <w:r>
        <w:t>augex</w:t>
      </w:r>
      <w:proofErr w:type="spellEnd"/>
      <w:r>
        <w:t xml:space="preserve"> model, emphasising they are regulatory tools, not planning or management tools. </w:t>
      </w:r>
      <w:proofErr w:type="spellStart"/>
      <w:r>
        <w:t>Nuttall</w:t>
      </w:r>
      <w:proofErr w:type="spellEnd"/>
      <w:r>
        <w:t xml:space="preserve"> Consulting provided example templates in the </w:t>
      </w:r>
      <w:proofErr w:type="spellStart"/>
      <w:r>
        <w:t>repex</w:t>
      </w:r>
      <w:proofErr w:type="spellEnd"/>
      <w:r>
        <w:t xml:space="preserve"> model to illustrate the model’s potential information </w:t>
      </w:r>
      <w:r>
        <w:lastRenderedPageBreak/>
        <w:t xml:space="preserve">requirements for DNSPs. </w:t>
      </w:r>
      <w:proofErr w:type="spellStart"/>
      <w:r>
        <w:t>Nuttall</w:t>
      </w:r>
      <w:proofErr w:type="spellEnd"/>
      <w:r>
        <w:t xml:space="preserve"> Consulting noted the workshops scheduled for 27 March 2013 will discuss the mechanics of the models in greater detail.</w:t>
      </w:r>
      <w:r w:rsidR="00CE37AE">
        <w:t xml:space="preserve"> </w:t>
      </w:r>
    </w:p>
    <w:p w:rsidR="007C13AD" w:rsidRPr="007C13AD" w:rsidRDefault="006B4BB9" w:rsidP="00D93A70">
      <w:pPr>
        <w:rPr>
          <w:b/>
        </w:rPr>
      </w:pPr>
      <w:r>
        <w:rPr>
          <w:b/>
        </w:rPr>
        <w:t>2</w:t>
      </w:r>
      <w:r w:rsidR="007C13AD" w:rsidRPr="007C13AD">
        <w:rPr>
          <w:b/>
        </w:rPr>
        <w:tab/>
        <w:t xml:space="preserve">Major issues for discussion </w:t>
      </w:r>
      <w:r w:rsidR="007C13AD">
        <w:rPr>
          <w:b/>
        </w:rPr>
        <w:t xml:space="preserve">and feedback from forum </w:t>
      </w:r>
    </w:p>
    <w:p w:rsidR="00036F16" w:rsidRPr="00036F16" w:rsidRDefault="00036F16">
      <w:r>
        <w:t xml:space="preserve">Forum participants discussed issues regarding the </w:t>
      </w:r>
      <w:proofErr w:type="spellStart"/>
      <w:r>
        <w:t>repex</w:t>
      </w:r>
      <w:proofErr w:type="spellEnd"/>
      <w:r>
        <w:t xml:space="preserve"> and </w:t>
      </w:r>
      <w:proofErr w:type="spellStart"/>
      <w:r>
        <w:t>augex</w:t>
      </w:r>
      <w:proofErr w:type="spellEnd"/>
      <w:r>
        <w:t xml:space="preserve"> models and associated information requirements.</w:t>
      </w:r>
    </w:p>
    <w:p w:rsidR="00B6137E" w:rsidRDefault="00DA0E96">
      <w:pPr>
        <w:rPr>
          <w:i/>
        </w:rPr>
      </w:pPr>
      <w:r>
        <w:rPr>
          <w:i/>
        </w:rPr>
        <w:t xml:space="preserve">General issues with the </w:t>
      </w:r>
      <w:proofErr w:type="spellStart"/>
      <w:r>
        <w:rPr>
          <w:i/>
        </w:rPr>
        <w:t>repex</w:t>
      </w:r>
      <w:proofErr w:type="spellEnd"/>
      <w:r>
        <w:rPr>
          <w:i/>
        </w:rPr>
        <w:t xml:space="preserve"> model and its application</w:t>
      </w:r>
    </w:p>
    <w:p w:rsidR="00DA0E96" w:rsidRDefault="000060B3">
      <w:proofErr w:type="spellStart"/>
      <w:r>
        <w:t>Nuttall</w:t>
      </w:r>
      <w:proofErr w:type="spellEnd"/>
      <w:r>
        <w:t xml:space="preserve"> Consulting noted the AER utilised the </w:t>
      </w:r>
      <w:proofErr w:type="spellStart"/>
      <w:r>
        <w:t>repex</w:t>
      </w:r>
      <w:proofErr w:type="spellEnd"/>
      <w:r>
        <w:t xml:space="preserve"> model in the Victorian and Tasmanian distribution determinations, where DNSPs set their own categories for the </w:t>
      </w:r>
      <w:r w:rsidR="00C66C8E">
        <w:t xml:space="preserve">specified </w:t>
      </w:r>
      <w:r>
        <w:t xml:space="preserve">asset types. However, the AER aims to standardise the </w:t>
      </w:r>
      <w:proofErr w:type="spellStart"/>
      <w:r>
        <w:t>repex</w:t>
      </w:r>
      <w:proofErr w:type="spellEnd"/>
      <w:r>
        <w:t xml:space="preserve"> model categories for future distribution determinations.</w:t>
      </w:r>
    </w:p>
    <w:p w:rsidR="000060B3" w:rsidRDefault="000060B3">
      <w:r>
        <w:t xml:space="preserve">DNSP representatives asked how the </w:t>
      </w:r>
      <w:proofErr w:type="spellStart"/>
      <w:r>
        <w:t>repex</w:t>
      </w:r>
      <w:proofErr w:type="spellEnd"/>
      <w:r>
        <w:t xml:space="preserve"> model accounts for differences in operating environments. For example, wood poles deteriorate at different rates in different environments. </w:t>
      </w:r>
      <w:proofErr w:type="spellStart"/>
      <w:r>
        <w:t>Nuttall</w:t>
      </w:r>
      <w:proofErr w:type="spellEnd"/>
      <w:r>
        <w:t xml:space="preserve"> Consulting pointed to the use of “coastal poles” and “inland poles” to account for such environmental differences in the Victorian distribution determination. </w:t>
      </w:r>
      <w:proofErr w:type="spellStart"/>
      <w:r>
        <w:t>Nuttall</w:t>
      </w:r>
      <w:proofErr w:type="spellEnd"/>
      <w:r>
        <w:t xml:space="preserve"> Consulting not</w:t>
      </w:r>
      <w:r w:rsidR="000E2AA2">
        <w:t xml:space="preserve">ed the purpose of the workshop </w:t>
      </w:r>
      <w:r>
        <w:t>was</w:t>
      </w:r>
      <w:r w:rsidR="0069136D">
        <w:t xml:space="preserve"> in part</w:t>
      </w:r>
      <w:r>
        <w:t xml:space="preserve"> to discuss t</w:t>
      </w:r>
      <w:r w:rsidR="0069136D">
        <w:t>he most appropriate cost categories in order to account for such differences in operating environment.</w:t>
      </w:r>
    </w:p>
    <w:p w:rsidR="000060B3" w:rsidRDefault="000060B3">
      <w:r>
        <w:t xml:space="preserve">DNSP representatives asked how the AER </w:t>
      </w:r>
      <w:r w:rsidR="000E2AA2">
        <w:t xml:space="preserve">would account for the fact that DNSPs record information at different levels of detail. DNSP representatives also noted some of the data required to populate the </w:t>
      </w:r>
      <w:proofErr w:type="spellStart"/>
      <w:r w:rsidR="00C66C8E">
        <w:t>repex</w:t>
      </w:r>
      <w:proofErr w:type="spellEnd"/>
      <w:r w:rsidR="00C66C8E">
        <w:t xml:space="preserve"> and </w:t>
      </w:r>
      <w:proofErr w:type="spellStart"/>
      <w:r w:rsidR="000E2AA2">
        <w:t>augex</w:t>
      </w:r>
      <w:proofErr w:type="spellEnd"/>
      <w:r w:rsidR="000E2AA2">
        <w:t xml:space="preserve"> model</w:t>
      </w:r>
      <w:r w:rsidR="00C66C8E">
        <w:t>s</w:t>
      </w:r>
      <w:r w:rsidR="000E2AA2">
        <w:t xml:space="preserve"> are not available and will need to be derived. </w:t>
      </w:r>
      <w:proofErr w:type="spellStart"/>
      <w:r w:rsidR="000E2AA2">
        <w:t>Nuttall</w:t>
      </w:r>
      <w:proofErr w:type="spellEnd"/>
      <w:r w:rsidR="000E2AA2">
        <w:t xml:space="preserve"> Consulting noted this is not a major issue as long as the derivation is clear and well-documented.</w:t>
      </w:r>
    </w:p>
    <w:p w:rsidR="00764ECE" w:rsidRDefault="0064386B">
      <w:r>
        <w:t xml:space="preserve">AER </w:t>
      </w:r>
      <w:r w:rsidR="00816593">
        <w:t xml:space="preserve">staff </w:t>
      </w:r>
      <w:r>
        <w:t>noted</w:t>
      </w:r>
      <w:r w:rsidR="00447210">
        <w:t xml:space="preserve"> energy users </w:t>
      </w:r>
      <w:r>
        <w:t xml:space="preserve">representatives </w:t>
      </w:r>
      <w:r w:rsidR="00C66C8E">
        <w:t xml:space="preserve">previously </w:t>
      </w:r>
      <w:r w:rsidR="00447210">
        <w:t xml:space="preserve">requested data for the </w:t>
      </w:r>
      <w:proofErr w:type="spellStart"/>
      <w:r w:rsidR="00447210">
        <w:t>repex</w:t>
      </w:r>
      <w:proofErr w:type="spellEnd"/>
      <w:r w:rsidR="00447210">
        <w:t xml:space="preserve"> and </w:t>
      </w:r>
      <w:proofErr w:type="spellStart"/>
      <w:r w:rsidR="00447210">
        <w:t>augex</w:t>
      </w:r>
      <w:proofErr w:type="spellEnd"/>
      <w:r w:rsidR="00447210">
        <w:t xml:space="preserve"> models </w:t>
      </w:r>
      <w:proofErr w:type="gramStart"/>
      <w:r w:rsidR="00447210">
        <w:t>be</w:t>
      </w:r>
      <w:proofErr w:type="gramEnd"/>
      <w:r w:rsidR="00447210">
        <w:t xml:space="preserve"> made available during a revenue determination</w:t>
      </w:r>
      <w:r w:rsidR="00C66C8E">
        <w:t xml:space="preserve">. This would </w:t>
      </w:r>
      <w:r>
        <w:t>enable independent assessment by energy users</w:t>
      </w:r>
      <w:r w:rsidR="00447210">
        <w:t>.</w:t>
      </w:r>
      <w:r w:rsidR="00447210">
        <w:rPr>
          <w:rStyle w:val="FootnoteReference"/>
        </w:rPr>
        <w:footnoteReference w:id="2"/>
      </w:r>
      <w:r w:rsidR="00447210">
        <w:t xml:space="preserve"> </w:t>
      </w:r>
      <w:r>
        <w:t xml:space="preserve">DNSP representatives raised concerns energy users will take the outputs of the </w:t>
      </w:r>
      <w:proofErr w:type="spellStart"/>
      <w:r>
        <w:t>repex</w:t>
      </w:r>
      <w:proofErr w:type="spellEnd"/>
      <w:r>
        <w:t xml:space="preserve"> and </w:t>
      </w:r>
      <w:proofErr w:type="spellStart"/>
      <w:r>
        <w:t>augex</w:t>
      </w:r>
      <w:proofErr w:type="spellEnd"/>
      <w:r>
        <w:t xml:space="preserve"> models as deterministic. Therefore, the AER should clearly qualify the results of these models. Further, </w:t>
      </w:r>
      <w:r w:rsidR="00447210">
        <w:t xml:space="preserve">DNSPs should have the opportunity to explain outputs of the </w:t>
      </w:r>
      <w:proofErr w:type="spellStart"/>
      <w:r w:rsidR="00447210">
        <w:t>repex</w:t>
      </w:r>
      <w:proofErr w:type="spellEnd"/>
      <w:r w:rsidR="00447210">
        <w:t xml:space="preserve"> model.</w:t>
      </w:r>
      <w:r w:rsidR="00816593">
        <w:t xml:space="preserve"> Ideally the </w:t>
      </w:r>
      <w:r w:rsidR="00327CEB">
        <w:t xml:space="preserve">AER’s </w:t>
      </w:r>
      <w:r w:rsidR="00816593">
        <w:t>model</w:t>
      </w:r>
      <w:r w:rsidR="00327CEB">
        <w:t>s</w:t>
      </w:r>
      <w:r w:rsidR="00816593">
        <w:t xml:space="preserve"> would be populated with data and outputs made known to DNSPs prior to the submission of their regulatory proposals.</w:t>
      </w:r>
    </w:p>
    <w:p w:rsidR="00D75BCA" w:rsidRDefault="00D75BCA">
      <w:r>
        <w:t xml:space="preserve">DNSP representatives pointed out the </w:t>
      </w:r>
      <w:proofErr w:type="spellStart"/>
      <w:r>
        <w:t>repex</w:t>
      </w:r>
      <w:proofErr w:type="spellEnd"/>
      <w:r>
        <w:t xml:space="preserve"> model currently produces point forecasts, and queried whether it should produce a range instead.</w:t>
      </w:r>
    </w:p>
    <w:p w:rsidR="009521DD" w:rsidRDefault="009521DD">
      <w:r>
        <w:t xml:space="preserve">It was noted that the NSW DNSPs have been investigating the </w:t>
      </w:r>
      <w:proofErr w:type="spellStart"/>
      <w:r w:rsidR="004B4E6A">
        <w:t>augex</w:t>
      </w:r>
      <w:proofErr w:type="spellEnd"/>
      <w:r w:rsidR="004B4E6A">
        <w:t xml:space="preserve"> </w:t>
      </w:r>
      <w:r>
        <w:t xml:space="preserve">model, and </w:t>
      </w:r>
      <w:r w:rsidR="00A47D80">
        <w:t xml:space="preserve">agreed to </w:t>
      </w:r>
      <w:r>
        <w:t>share their findings with other stakeholders</w:t>
      </w:r>
      <w:r w:rsidR="004B4E6A" w:rsidRPr="004B4E6A">
        <w:t xml:space="preserve"> </w:t>
      </w:r>
      <w:r w:rsidR="004B4E6A">
        <w:t>for the purposes of model development</w:t>
      </w:r>
      <w:r>
        <w:t>.</w:t>
      </w:r>
    </w:p>
    <w:p w:rsidR="00A47D80" w:rsidRDefault="00A47D80"/>
    <w:p w:rsidR="00A47D80" w:rsidRPr="00DA0E96" w:rsidRDefault="00A47D80"/>
    <w:p w:rsidR="005B586D" w:rsidRPr="004C67A1" w:rsidRDefault="00DA0E96">
      <w:pPr>
        <w:rPr>
          <w:i/>
        </w:rPr>
      </w:pPr>
      <w:r>
        <w:rPr>
          <w:i/>
        </w:rPr>
        <w:lastRenderedPageBreak/>
        <w:t xml:space="preserve">Cost categories in the </w:t>
      </w:r>
      <w:proofErr w:type="spellStart"/>
      <w:r>
        <w:rPr>
          <w:i/>
        </w:rPr>
        <w:t>repex</w:t>
      </w:r>
      <w:proofErr w:type="spellEnd"/>
      <w:r>
        <w:rPr>
          <w:i/>
        </w:rPr>
        <w:t xml:space="preserve"> model</w:t>
      </w:r>
    </w:p>
    <w:p w:rsidR="00BF03A1" w:rsidRDefault="0051033D">
      <w:r>
        <w:t xml:space="preserve">AER </w:t>
      </w:r>
      <w:r w:rsidR="00816593">
        <w:t xml:space="preserve">staff </w:t>
      </w:r>
      <w:r>
        <w:t xml:space="preserve">asked whether </w:t>
      </w:r>
      <w:r w:rsidR="00BA77F1">
        <w:t xml:space="preserve">the </w:t>
      </w:r>
      <w:proofErr w:type="spellStart"/>
      <w:r w:rsidR="00BA77F1">
        <w:t>repex</w:t>
      </w:r>
      <w:proofErr w:type="spellEnd"/>
      <w:r w:rsidR="00BA77F1">
        <w:t xml:space="preserve"> model in its current form has any </w:t>
      </w:r>
      <w:r w:rsidR="006C7DD5">
        <w:t xml:space="preserve">important </w:t>
      </w:r>
      <w:r w:rsidR="00BA77F1">
        <w:t>omissions from the broad asset groups in DNSPs’ replacement programs.</w:t>
      </w:r>
    </w:p>
    <w:p w:rsidR="006C7DD5" w:rsidRDefault="006C7DD5">
      <w:r>
        <w:t xml:space="preserve">DNSP representatives noted the </w:t>
      </w:r>
      <w:proofErr w:type="spellStart"/>
      <w:r>
        <w:t>repex</w:t>
      </w:r>
      <w:proofErr w:type="spellEnd"/>
      <w:r>
        <w:t xml:space="preserve"> model does not include meter</w:t>
      </w:r>
      <w:r w:rsidR="00816593">
        <w:t>ing asset</w:t>
      </w:r>
      <w:r>
        <w:t xml:space="preserve">s. This is an important point in Victoria as meters in the AMI program will be rolled into the next Victorian distribution determinations. DNSP representatives also noted secondary systems, and SCADA and protection are not currently asset categories assessed in the </w:t>
      </w:r>
      <w:proofErr w:type="spellStart"/>
      <w:r>
        <w:t>repex</w:t>
      </w:r>
      <w:proofErr w:type="spellEnd"/>
      <w:r>
        <w:t xml:space="preserve"> model</w:t>
      </w:r>
      <w:r w:rsidR="00091DC7">
        <w:t xml:space="preserve">. AER </w:t>
      </w:r>
      <w:r w:rsidR="00816593">
        <w:t xml:space="preserve">staff </w:t>
      </w:r>
      <w:r w:rsidR="00091DC7">
        <w:t xml:space="preserve">noted it </w:t>
      </w:r>
      <w:r w:rsidR="00816593">
        <w:t xml:space="preserve">would need to </w:t>
      </w:r>
      <w:r w:rsidR="00091DC7">
        <w:t xml:space="preserve">document any omissions from the </w:t>
      </w:r>
      <w:proofErr w:type="spellStart"/>
      <w:r w:rsidR="00091DC7">
        <w:t>repex</w:t>
      </w:r>
      <w:proofErr w:type="spellEnd"/>
      <w:r w:rsidR="00091DC7">
        <w:t xml:space="preserve"> model and the reasons for</w:t>
      </w:r>
      <w:r w:rsidR="0053542C">
        <w:t xml:space="preserve"> </w:t>
      </w:r>
      <w:r w:rsidR="00C66C8E">
        <w:t>such</w:t>
      </w:r>
      <w:r w:rsidR="0053542C">
        <w:t xml:space="preserve"> omission</w:t>
      </w:r>
      <w:r w:rsidR="00C66C8E">
        <w:t>s</w:t>
      </w:r>
      <w:r w:rsidR="0053542C">
        <w:t xml:space="preserve">. </w:t>
      </w:r>
    </w:p>
    <w:p w:rsidR="001A4FC3" w:rsidRDefault="001A4FC3">
      <w:r>
        <w:t xml:space="preserve">DNSP representatives stated the </w:t>
      </w:r>
      <w:proofErr w:type="spellStart"/>
      <w:r>
        <w:t>repex</w:t>
      </w:r>
      <w:proofErr w:type="spellEnd"/>
      <w:r>
        <w:t xml:space="preserve"> model requires a better definition of “unit rate” because a replacement activity (such as “pole replacement”) may represent a number of distinct activities (for example, replace a cross-arm versus replace the pole itself).</w:t>
      </w:r>
      <w:r w:rsidR="00964948">
        <w:t xml:space="preserve"> </w:t>
      </w:r>
      <w:r w:rsidR="007439F9">
        <w:t xml:space="preserve">The definitions need to make clear what direct and indirect costs are to be </w:t>
      </w:r>
      <w:proofErr w:type="gramStart"/>
      <w:r w:rsidR="007439F9">
        <w:t>included/excluded</w:t>
      </w:r>
      <w:proofErr w:type="gramEnd"/>
      <w:r w:rsidR="007439F9">
        <w:t xml:space="preserve">. </w:t>
      </w:r>
      <w:r w:rsidR="00964948">
        <w:t xml:space="preserve">A consultant noted </w:t>
      </w:r>
      <w:r w:rsidR="007439F9">
        <w:t xml:space="preserve">aggregation of </w:t>
      </w:r>
      <w:r w:rsidR="00964948">
        <w:t>such unit cost</w:t>
      </w:r>
      <w:r w:rsidR="007439F9">
        <w:t>s</w:t>
      </w:r>
      <w:r w:rsidR="00964948">
        <w:t xml:space="preserve"> </w:t>
      </w:r>
      <w:r w:rsidR="0065559E">
        <w:t xml:space="preserve">averages out such </w:t>
      </w:r>
      <w:r w:rsidR="00964948">
        <w:t>differentials</w:t>
      </w:r>
      <w:r w:rsidR="00327CEB">
        <w:t>, and that t</w:t>
      </w:r>
      <w:r w:rsidR="0065559E">
        <w:t>he AER should therefore focus its investigation where more aggregated unit cost differentials are material.</w:t>
      </w:r>
    </w:p>
    <w:p w:rsidR="00327CEB" w:rsidRDefault="00CB3C6E">
      <w:r>
        <w:t xml:space="preserve">A DNSP representative noted obtaining more disaggregated information will be harder for smaller networks as statistical indicators become harder to derive. </w:t>
      </w:r>
      <w:r w:rsidR="00327CEB">
        <w:t>Concerns were also expressed at the AER potentially identifying differences in disaggregated unit costs and making adjustments to expenditure allowances on this basis without a proper consideration of efficiency at the aggregated level.</w:t>
      </w:r>
    </w:p>
    <w:p w:rsidR="00CB3C6E" w:rsidRDefault="00327CEB">
      <w:r>
        <w:t xml:space="preserve">Inconsistency in the number/ type of asset categories in the AER’s templates for historical data versus forecast data was noted. Rather than focus on achieving consistency in categories across businesses, it was suggested that the AER also consider the potential role of normalisation adjustments to deal with unit rate variances. </w:t>
      </w:r>
    </w:p>
    <w:p w:rsidR="00DA0E96" w:rsidRDefault="00DA0E96">
      <w:r>
        <w:t xml:space="preserve">AER </w:t>
      </w:r>
      <w:r w:rsidR="00327CEB">
        <w:t xml:space="preserve">staff </w:t>
      </w:r>
      <w:r>
        <w:t xml:space="preserve">proposed to create a draft proposal of asset categories for the purpose of populating the </w:t>
      </w:r>
      <w:proofErr w:type="spellStart"/>
      <w:r>
        <w:t>repex</w:t>
      </w:r>
      <w:proofErr w:type="spellEnd"/>
      <w:r>
        <w:t xml:space="preserve"> model and more generally to enable the AER to assess DNSPs’ </w:t>
      </w:r>
      <w:proofErr w:type="spellStart"/>
      <w:r>
        <w:t>repex</w:t>
      </w:r>
      <w:proofErr w:type="spellEnd"/>
      <w:r>
        <w:t xml:space="preserve"> forecasts. </w:t>
      </w:r>
      <w:r w:rsidR="00327CEB">
        <w:t xml:space="preserve">This would be </w:t>
      </w:r>
      <w:r>
        <w:t>provide</w:t>
      </w:r>
      <w:r w:rsidR="00327CEB">
        <w:t xml:space="preserve">d </w:t>
      </w:r>
      <w:r>
        <w:t xml:space="preserve">to stakeholders after 15 March 2013. </w:t>
      </w:r>
    </w:p>
    <w:p w:rsidR="00A47D80" w:rsidRDefault="00A47D80"/>
    <w:p w:rsidR="00591FFF" w:rsidRPr="00591FFF" w:rsidRDefault="00DA0E96">
      <w:pPr>
        <w:rPr>
          <w:i/>
        </w:rPr>
      </w:pPr>
      <w:r>
        <w:rPr>
          <w:i/>
        </w:rPr>
        <w:t xml:space="preserve">General issues with the </w:t>
      </w:r>
      <w:proofErr w:type="spellStart"/>
      <w:r>
        <w:rPr>
          <w:i/>
        </w:rPr>
        <w:t>augex</w:t>
      </w:r>
      <w:proofErr w:type="spellEnd"/>
      <w:r>
        <w:rPr>
          <w:i/>
        </w:rPr>
        <w:t xml:space="preserve"> model and its application</w:t>
      </w:r>
    </w:p>
    <w:p w:rsidR="00591FFF" w:rsidRDefault="003D58A7">
      <w:r>
        <w:t xml:space="preserve">DNSP representatives noted </w:t>
      </w:r>
      <w:r w:rsidR="00AA4E30">
        <w:t xml:space="preserve">the </w:t>
      </w:r>
      <w:proofErr w:type="spellStart"/>
      <w:r w:rsidR="00AA4E30">
        <w:t>augex</w:t>
      </w:r>
      <w:proofErr w:type="spellEnd"/>
      <w:r w:rsidR="00AA4E30">
        <w:t xml:space="preserve"> model does </w:t>
      </w:r>
      <w:r w:rsidR="00E558F1">
        <w:t xml:space="preserve">not </w:t>
      </w:r>
      <w:r w:rsidR="00AA4E30">
        <w:t>account for</w:t>
      </w:r>
      <w:r w:rsidR="009705B0">
        <w:t xml:space="preserve"> the fact that there are a range of possible solutions for network segments reaching utilisation thresholds.</w:t>
      </w:r>
      <w:r w:rsidR="005037D3">
        <w:t xml:space="preserve"> </w:t>
      </w:r>
      <w:proofErr w:type="spellStart"/>
      <w:r w:rsidR="005037D3">
        <w:t>Nuttall</w:t>
      </w:r>
      <w:proofErr w:type="spellEnd"/>
      <w:r w:rsidR="005037D3">
        <w:t xml:space="preserve"> Consulting conceded the </w:t>
      </w:r>
      <w:proofErr w:type="spellStart"/>
      <w:r w:rsidR="005037D3">
        <w:t>augex</w:t>
      </w:r>
      <w:proofErr w:type="spellEnd"/>
      <w:r w:rsidR="005037D3">
        <w:t xml:space="preserve"> m</w:t>
      </w:r>
      <w:r w:rsidR="00E558F1">
        <w:t xml:space="preserve">odel is more limited than the </w:t>
      </w:r>
      <w:proofErr w:type="spellStart"/>
      <w:r w:rsidR="00E558F1">
        <w:t>rep</w:t>
      </w:r>
      <w:r w:rsidR="005037D3">
        <w:t>ex</w:t>
      </w:r>
      <w:proofErr w:type="spellEnd"/>
      <w:r w:rsidR="005037D3">
        <w:t xml:space="preserve"> model for assessing expenditure forecasts. However, the </w:t>
      </w:r>
      <w:proofErr w:type="spellStart"/>
      <w:r w:rsidR="005037D3">
        <w:t>augex</w:t>
      </w:r>
      <w:proofErr w:type="spellEnd"/>
      <w:r w:rsidR="005037D3">
        <w:t xml:space="preserve"> model still provides a point of comparison to assessing </w:t>
      </w:r>
      <w:proofErr w:type="spellStart"/>
      <w:r w:rsidR="005037D3">
        <w:t>augex</w:t>
      </w:r>
      <w:proofErr w:type="spellEnd"/>
      <w:r w:rsidR="005037D3">
        <w:t xml:space="preserve"> forecasts and having consistent data is in itself useful in a distribution determination.</w:t>
      </w:r>
    </w:p>
    <w:p w:rsidR="009F7184" w:rsidRDefault="009F7184">
      <w:r>
        <w:t xml:space="preserve">DNSP representatives noted the </w:t>
      </w:r>
      <w:proofErr w:type="spellStart"/>
      <w:r>
        <w:t>augex</w:t>
      </w:r>
      <w:proofErr w:type="spellEnd"/>
      <w:r>
        <w:t xml:space="preserve"> model aims to capture demand driven augmentations. However, many augmentation projects relate to other drivers such as customer connections</w:t>
      </w:r>
      <w:r w:rsidR="00780601">
        <w:t>, quality</w:t>
      </w:r>
      <w:r>
        <w:t xml:space="preserve"> and voltage issues.</w:t>
      </w:r>
      <w:r w:rsidR="00AB056B">
        <w:t xml:space="preserve"> </w:t>
      </w:r>
      <w:r>
        <w:t xml:space="preserve">More generally, </w:t>
      </w:r>
      <w:r w:rsidR="00E558F1">
        <w:t>DNSP representatives</w:t>
      </w:r>
      <w:r w:rsidR="00AB056B">
        <w:t xml:space="preserve"> asked when in the Guidelines consultation process will</w:t>
      </w:r>
      <w:r w:rsidR="00AB056B" w:rsidRPr="00AB056B">
        <w:t xml:space="preserve"> </w:t>
      </w:r>
      <w:r w:rsidR="00AB056B">
        <w:t xml:space="preserve">the AER </w:t>
      </w:r>
      <w:r>
        <w:t xml:space="preserve">discuss the scope the </w:t>
      </w:r>
      <w:proofErr w:type="spellStart"/>
      <w:r>
        <w:t>augex</w:t>
      </w:r>
      <w:proofErr w:type="spellEnd"/>
      <w:r>
        <w:t xml:space="preserve"> model’s utilisation. </w:t>
      </w:r>
      <w:r w:rsidR="00DB1790">
        <w:t xml:space="preserve">In this context it was noted that </w:t>
      </w:r>
      <w:r w:rsidR="00DB1790">
        <w:lastRenderedPageBreak/>
        <w:t xml:space="preserve">there was some ambiguity in the AER’s issues paper and the </w:t>
      </w:r>
      <w:proofErr w:type="spellStart"/>
      <w:r w:rsidR="00DB1790">
        <w:t>augex</w:t>
      </w:r>
      <w:proofErr w:type="spellEnd"/>
      <w:r w:rsidR="00DB1790">
        <w:t xml:space="preserve"> model material regarding whether the model was intended to cover connections capex.</w:t>
      </w:r>
    </w:p>
    <w:p w:rsidR="00AB056B" w:rsidRDefault="009F7184">
      <w:r>
        <w:t xml:space="preserve">AER </w:t>
      </w:r>
      <w:r w:rsidR="005450B9">
        <w:t xml:space="preserve">staff </w:t>
      </w:r>
      <w:r>
        <w:t xml:space="preserve">stated </w:t>
      </w:r>
      <w:r w:rsidR="005450B9">
        <w:t xml:space="preserve">they would consider </w:t>
      </w:r>
      <w:r>
        <w:t>clarify</w:t>
      </w:r>
      <w:r w:rsidR="005450B9">
        <w:t>ing</w:t>
      </w:r>
      <w:r>
        <w:t xml:space="preserve"> </w:t>
      </w:r>
      <w:r w:rsidR="000B266D">
        <w:t xml:space="preserve">the areas the </w:t>
      </w:r>
      <w:proofErr w:type="spellStart"/>
      <w:r w:rsidR="000B266D">
        <w:t>augex</w:t>
      </w:r>
      <w:proofErr w:type="spellEnd"/>
      <w:r w:rsidR="000B266D">
        <w:t xml:space="preserve"> model </w:t>
      </w:r>
      <w:r w:rsidR="00E558F1">
        <w:t xml:space="preserve">will </w:t>
      </w:r>
      <w:r w:rsidR="005450B9">
        <w:t xml:space="preserve">apply to </w:t>
      </w:r>
      <w:r w:rsidR="000B266D">
        <w:t xml:space="preserve">(and those it </w:t>
      </w:r>
      <w:r w:rsidR="00E558F1">
        <w:t xml:space="preserve">will </w:t>
      </w:r>
      <w:r w:rsidR="000B266D">
        <w:t>not).</w:t>
      </w:r>
    </w:p>
    <w:p w:rsidR="009F7184" w:rsidRDefault="00780601">
      <w:r>
        <w:t xml:space="preserve">A DNSP representative inquired whether the </w:t>
      </w:r>
      <w:proofErr w:type="spellStart"/>
      <w:r>
        <w:t>augex</w:t>
      </w:r>
      <w:proofErr w:type="spellEnd"/>
      <w:r>
        <w:t xml:space="preserve"> model uses raw demand data, or weather-corrected data. AER </w:t>
      </w:r>
      <w:r w:rsidR="005450B9">
        <w:t xml:space="preserve">staff </w:t>
      </w:r>
      <w:r>
        <w:t>stated this is currently under consideration</w:t>
      </w:r>
      <w:r w:rsidR="005450B9">
        <w:t xml:space="preserve"> and </w:t>
      </w:r>
      <w:r>
        <w:t xml:space="preserve">noted </w:t>
      </w:r>
      <w:r w:rsidR="00A6057F">
        <w:t>the Australian Energy Market Operator’s potential role in demand forecasting.</w:t>
      </w:r>
    </w:p>
    <w:p w:rsidR="00A47D80" w:rsidRDefault="00A47D80"/>
    <w:p w:rsidR="00E30BA8" w:rsidRPr="004C67A1" w:rsidRDefault="00DA0E96" w:rsidP="001A2ACA">
      <w:pPr>
        <w:rPr>
          <w:i/>
        </w:rPr>
      </w:pPr>
      <w:r>
        <w:rPr>
          <w:i/>
        </w:rPr>
        <w:t xml:space="preserve">Cost categories in the </w:t>
      </w:r>
      <w:proofErr w:type="spellStart"/>
      <w:r>
        <w:rPr>
          <w:i/>
        </w:rPr>
        <w:t>augex</w:t>
      </w:r>
      <w:proofErr w:type="spellEnd"/>
      <w:r>
        <w:rPr>
          <w:i/>
        </w:rPr>
        <w:t xml:space="preserve"> model</w:t>
      </w:r>
    </w:p>
    <w:p w:rsidR="005037D3" w:rsidRDefault="005037D3" w:rsidP="001A2ACA">
      <w:proofErr w:type="spellStart"/>
      <w:r>
        <w:t>Nuttall</w:t>
      </w:r>
      <w:proofErr w:type="spellEnd"/>
      <w:r>
        <w:t xml:space="preserve"> Consulting asked whether low voltage (LV) augmentations are mater</w:t>
      </w:r>
      <w:r w:rsidR="00AB056B">
        <w:t>ial enough to be reviewed</w:t>
      </w:r>
      <w:r w:rsidR="005450B9">
        <w:t xml:space="preserve"> separately</w:t>
      </w:r>
      <w:r>
        <w:t xml:space="preserve">, or whether </w:t>
      </w:r>
      <w:r w:rsidR="00AB056B">
        <w:t xml:space="preserve">they </w:t>
      </w:r>
      <w:r>
        <w:t>should be linked with distribution substation augmentations. DNSP representative</w:t>
      </w:r>
      <w:r w:rsidR="005450B9">
        <w:t xml:space="preserve">s suggested </w:t>
      </w:r>
      <w:r>
        <w:t>LV work</w:t>
      </w:r>
      <w:r w:rsidR="005450B9">
        <w:t xml:space="preserve">s are </w:t>
      </w:r>
      <w:r w:rsidR="00AB056B">
        <w:t xml:space="preserve">normally </w:t>
      </w:r>
      <w:r>
        <w:t xml:space="preserve">related to customer complaints </w:t>
      </w:r>
      <w:r w:rsidR="00AB056B">
        <w:t xml:space="preserve">regarding </w:t>
      </w:r>
      <w:r>
        <w:t>voltage</w:t>
      </w:r>
      <w:r w:rsidR="005450B9">
        <w:t>, and the issue may not be one of materiality but of the need to rely heavily on assumptions to compensate for a lack of quality data. No modelling was currently undertaken by DNSPs at the LV level.</w:t>
      </w:r>
    </w:p>
    <w:p w:rsidR="0024754A" w:rsidRDefault="005037D3" w:rsidP="001A2ACA">
      <w:r>
        <w:t xml:space="preserve">DNSP representatives noted </w:t>
      </w:r>
      <w:proofErr w:type="spellStart"/>
      <w:r w:rsidR="00DA0DFD">
        <w:t>subtransmission</w:t>
      </w:r>
      <w:proofErr w:type="spellEnd"/>
      <w:r w:rsidR="00DA0DFD">
        <w:t xml:space="preserve"> </w:t>
      </w:r>
      <w:proofErr w:type="spellStart"/>
      <w:r w:rsidR="00DA0DFD">
        <w:t>augex</w:t>
      </w:r>
      <w:proofErr w:type="spellEnd"/>
      <w:r w:rsidR="00DA0DFD">
        <w:t xml:space="preserve"> consists of a small number of large projects. Hence, the </w:t>
      </w:r>
      <w:proofErr w:type="spellStart"/>
      <w:r w:rsidR="00DA0DFD">
        <w:t>augex</w:t>
      </w:r>
      <w:proofErr w:type="spellEnd"/>
      <w:r w:rsidR="00DA0DFD">
        <w:t xml:space="preserve"> model may </w:t>
      </w:r>
      <w:r w:rsidR="008D74C4">
        <w:t xml:space="preserve">not </w:t>
      </w:r>
      <w:r w:rsidR="00DA0DFD">
        <w:t xml:space="preserve">be appropriate for such expenditure. </w:t>
      </w:r>
      <w:proofErr w:type="spellStart"/>
      <w:r w:rsidR="0024754A">
        <w:t>Nuttall</w:t>
      </w:r>
      <w:proofErr w:type="spellEnd"/>
      <w:r w:rsidR="0024754A">
        <w:t xml:space="preserve"> Consulting queried whether classifying circuits by type (short rural, long rural, urban, CBD) was appropriate for the </w:t>
      </w:r>
      <w:proofErr w:type="spellStart"/>
      <w:r w:rsidR="0024754A">
        <w:t>augex</w:t>
      </w:r>
      <w:proofErr w:type="spellEnd"/>
      <w:r w:rsidR="0024754A">
        <w:t xml:space="preserve"> model. DNSP representative</w:t>
      </w:r>
      <w:r w:rsidR="00E0601A">
        <w:t>s discussed these categories may be used, for example under licence conditions reporting, however expressed some reservations as to whether they were consistently applied in all jurisdictions. S</w:t>
      </w:r>
      <w:r w:rsidR="00473425">
        <w:t xml:space="preserve">uch classification </w:t>
      </w:r>
      <w:r w:rsidR="00E0601A">
        <w:t xml:space="preserve">may </w:t>
      </w:r>
      <w:r w:rsidR="00473425">
        <w:t xml:space="preserve">relate more to </w:t>
      </w:r>
      <w:r w:rsidR="00E558F1">
        <w:t>reliability standards reporting</w:t>
      </w:r>
      <w:r w:rsidR="00E0601A">
        <w:t xml:space="preserve"> and may not fully reflect underlying cost drivers</w:t>
      </w:r>
      <w:r w:rsidR="00473425">
        <w:t>.</w:t>
      </w:r>
      <w:r w:rsidR="00E0601A">
        <w:t xml:space="preserve"> No preferably alternatives were discussed.</w:t>
      </w:r>
    </w:p>
    <w:p w:rsidR="001A2ACA" w:rsidRDefault="00DA0E96" w:rsidP="001A2ACA">
      <w:r>
        <w:t xml:space="preserve">AER </w:t>
      </w:r>
      <w:r w:rsidR="00E0601A">
        <w:t xml:space="preserve">staff </w:t>
      </w:r>
      <w:r>
        <w:t xml:space="preserve">suggested </w:t>
      </w:r>
      <w:r w:rsidR="00E0601A">
        <w:t xml:space="preserve">they would </w:t>
      </w:r>
      <w:r>
        <w:t xml:space="preserve">create a draft proposal of asset categories for the purpose of populating the </w:t>
      </w:r>
      <w:proofErr w:type="spellStart"/>
      <w:r>
        <w:t>augex</w:t>
      </w:r>
      <w:proofErr w:type="spellEnd"/>
      <w:r>
        <w:t xml:space="preserve"> model and more generally to enable the AER to assess DNSPs’ </w:t>
      </w:r>
      <w:proofErr w:type="spellStart"/>
      <w:r>
        <w:t>augex</w:t>
      </w:r>
      <w:proofErr w:type="spellEnd"/>
      <w:r>
        <w:t xml:space="preserve"> forecasts. The AER will provide the draft proposal to stakeholders after 15 March 2013.</w:t>
      </w:r>
      <w:r w:rsidR="00944D83">
        <w:t xml:space="preserve"> </w:t>
      </w:r>
    </w:p>
    <w:p w:rsidR="00A47D80" w:rsidRDefault="00A47D80" w:rsidP="001A2ACA"/>
    <w:p w:rsidR="00B33ECD" w:rsidRDefault="006B4BB9" w:rsidP="00B33ECD">
      <w:pPr>
        <w:rPr>
          <w:b/>
        </w:rPr>
      </w:pPr>
      <w:r>
        <w:rPr>
          <w:b/>
        </w:rPr>
        <w:t>3</w:t>
      </w:r>
      <w:r w:rsidR="00B33ECD">
        <w:rPr>
          <w:b/>
        </w:rPr>
        <w:tab/>
        <w:t>Other matters</w:t>
      </w:r>
    </w:p>
    <w:p w:rsidR="00AD087C" w:rsidRDefault="00325B99" w:rsidP="00B33ECD">
      <w:r>
        <w:t>Forum participants will need to monitor whether reliability standards and categorisations will become nationalised under the Australian Energy Market Commission’s review.</w:t>
      </w:r>
    </w:p>
    <w:p w:rsidR="00E0601A" w:rsidRDefault="00E0601A" w:rsidP="00B33ECD">
      <w:r>
        <w:t>AER staff reflected on concerned expressed about the potential for modelling data e.g. age and capacity utilisation to be published in annual benchmarking reports without proper context. DNSPs were asked to consider what other meaningful information could be collected and reported alongside these data to provide a more accurate view of their relative efficiency.</w:t>
      </w:r>
    </w:p>
    <w:p w:rsidR="001934EC" w:rsidRDefault="001934EC" w:rsidP="00B33ECD"/>
    <w:p w:rsidR="001934EC" w:rsidRPr="001934EC" w:rsidRDefault="001934EC" w:rsidP="001934EC">
      <w:pPr>
        <w:pStyle w:val="Heading1"/>
        <w:pageBreakBefore/>
        <w:rPr>
          <w:rFonts w:ascii="Calibri" w:hAnsi="Calibri"/>
        </w:rPr>
      </w:pPr>
      <w:r w:rsidRPr="001934EC">
        <w:rPr>
          <w:rFonts w:ascii="Calibri" w:hAnsi="Calibri"/>
        </w:rPr>
        <w:lastRenderedPageBreak/>
        <w:t>Attachment A</w:t>
      </w:r>
      <w:r>
        <w:rPr>
          <w:rFonts w:ascii="Calibri" w:hAnsi="Calibri"/>
        </w:rPr>
        <w:t xml:space="preserve">: </w:t>
      </w:r>
      <w:r w:rsidRPr="001934EC">
        <w:rPr>
          <w:rFonts w:ascii="Calibri" w:hAnsi="Calibri"/>
        </w:rPr>
        <w:t>Attendee list</w:t>
      </w:r>
    </w:p>
    <w:p w:rsidR="001934EC" w:rsidRPr="001934EC" w:rsidRDefault="001934EC" w:rsidP="001934EC">
      <w:pPr>
        <w:rPr>
          <w:b/>
        </w:rPr>
      </w:pPr>
      <w:r w:rsidRPr="001934EC">
        <w:rPr>
          <w:b/>
        </w:rPr>
        <w:t xml:space="preserve">Melbourne </w:t>
      </w:r>
      <w:r>
        <w:rPr>
          <w:b/>
        </w:rP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3686"/>
      </w:tblGrid>
      <w:tr w:rsidR="001934EC" w:rsidRPr="00C328B4" w:rsidTr="001934EC">
        <w:trPr>
          <w:trHeight w:val="300"/>
        </w:trPr>
        <w:tc>
          <w:tcPr>
            <w:tcW w:w="2422" w:type="dxa"/>
            <w:shd w:val="clear" w:color="auto" w:fill="auto"/>
            <w:noWrap/>
            <w:vAlign w:val="bottom"/>
            <w:hideMark/>
          </w:tcPr>
          <w:p w:rsidR="001934EC" w:rsidRPr="00C328B4" w:rsidRDefault="001934EC" w:rsidP="001934EC">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hideMark/>
          </w:tcPr>
          <w:p w:rsidR="001934EC" w:rsidRPr="00C328B4" w:rsidRDefault="001934EC" w:rsidP="001934EC">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8F1687" w:rsidRPr="00C328B4" w:rsidTr="001934EC">
        <w:trPr>
          <w:trHeight w:val="300"/>
        </w:trPr>
        <w:tc>
          <w:tcPr>
            <w:tcW w:w="2422" w:type="dxa"/>
            <w:shd w:val="clear" w:color="auto" w:fill="auto"/>
            <w:noWrap/>
            <w:vAlign w:val="bottom"/>
            <w:hideMark/>
          </w:tcPr>
          <w:p w:rsidR="008F1687" w:rsidRPr="00282E52" w:rsidRDefault="004556E2" w:rsidP="008F1687">
            <w:pPr>
              <w:spacing w:after="0" w:line="240" w:lineRule="auto"/>
              <w:rPr>
                <w:rFonts w:eastAsia="Times New Roman"/>
                <w:color w:val="000000"/>
                <w:lang w:eastAsia="en-AU"/>
              </w:rPr>
            </w:pPr>
            <w:r>
              <w:rPr>
                <w:rFonts w:eastAsia="Times New Roman"/>
                <w:color w:val="000000"/>
                <w:lang w:eastAsia="en-AU"/>
              </w:rPr>
              <w:t>Renate Tirpcou</w:t>
            </w:r>
          </w:p>
        </w:tc>
        <w:tc>
          <w:tcPr>
            <w:tcW w:w="3686" w:type="dxa"/>
            <w:shd w:val="clear" w:color="auto" w:fill="auto"/>
            <w:noWrap/>
            <w:vAlign w:val="bottom"/>
            <w:hideMark/>
          </w:tcPr>
          <w:p w:rsidR="008F1687" w:rsidRPr="00282E52" w:rsidRDefault="004556E2" w:rsidP="008F1687">
            <w:pPr>
              <w:spacing w:after="0" w:line="240" w:lineRule="auto"/>
              <w:rPr>
                <w:rFonts w:eastAsia="Times New Roman"/>
                <w:color w:val="000000"/>
                <w:lang w:eastAsia="en-AU"/>
              </w:rPr>
            </w:pPr>
            <w:r>
              <w:rPr>
                <w:rFonts w:eastAsia="Times New Roman"/>
                <w:color w:val="000000"/>
                <w:lang w:eastAsia="en-AU"/>
              </w:rPr>
              <w:t>CitiPower &amp; Powercor</w:t>
            </w:r>
          </w:p>
        </w:tc>
      </w:tr>
      <w:tr w:rsidR="008F1687" w:rsidRPr="00BC4991" w:rsidTr="001934EC">
        <w:trPr>
          <w:trHeight w:val="300"/>
        </w:trPr>
        <w:tc>
          <w:tcPr>
            <w:tcW w:w="2422" w:type="dxa"/>
            <w:shd w:val="clear" w:color="auto" w:fill="auto"/>
            <w:noWrap/>
            <w:vAlign w:val="bottom"/>
            <w:hideMark/>
          </w:tcPr>
          <w:p w:rsidR="008F1687" w:rsidRPr="00282E52" w:rsidRDefault="004C231C" w:rsidP="008F1687">
            <w:pPr>
              <w:spacing w:after="0" w:line="240" w:lineRule="auto"/>
              <w:rPr>
                <w:rFonts w:eastAsia="Times New Roman"/>
                <w:color w:val="000000"/>
                <w:lang w:eastAsia="en-AU"/>
              </w:rPr>
            </w:pPr>
            <w:r>
              <w:rPr>
                <w:rFonts w:eastAsia="Times New Roman"/>
                <w:color w:val="000000"/>
                <w:lang w:eastAsia="en-AU"/>
              </w:rPr>
              <w:t>David Dawson</w:t>
            </w:r>
          </w:p>
        </w:tc>
        <w:tc>
          <w:tcPr>
            <w:tcW w:w="3686" w:type="dxa"/>
            <w:shd w:val="clear" w:color="auto" w:fill="auto"/>
            <w:noWrap/>
            <w:vAlign w:val="bottom"/>
            <w:hideMark/>
          </w:tcPr>
          <w:p w:rsidR="008F1687" w:rsidRPr="00282E52" w:rsidRDefault="004C231C" w:rsidP="008F1687">
            <w:pPr>
              <w:spacing w:after="0" w:line="240" w:lineRule="auto"/>
              <w:rPr>
                <w:rFonts w:eastAsia="Times New Roman"/>
                <w:color w:val="000000"/>
                <w:lang w:eastAsia="en-AU"/>
              </w:rPr>
            </w:pPr>
            <w:r>
              <w:rPr>
                <w:rFonts w:eastAsia="Times New Roman"/>
                <w:color w:val="000000"/>
                <w:lang w:eastAsia="en-AU"/>
              </w:rPr>
              <w:t>Strategic Economics Consulting Group</w:t>
            </w:r>
          </w:p>
        </w:tc>
      </w:tr>
      <w:tr w:rsidR="001934EC" w:rsidRPr="00BC4991" w:rsidTr="001934EC">
        <w:trPr>
          <w:trHeight w:val="300"/>
        </w:trPr>
        <w:tc>
          <w:tcPr>
            <w:tcW w:w="2422" w:type="dxa"/>
            <w:shd w:val="clear" w:color="auto" w:fill="auto"/>
            <w:noWrap/>
            <w:vAlign w:val="bottom"/>
            <w:hideMark/>
          </w:tcPr>
          <w:p w:rsidR="001934EC" w:rsidRPr="00282E52" w:rsidRDefault="004556E2" w:rsidP="001934EC">
            <w:pPr>
              <w:spacing w:after="0" w:line="240" w:lineRule="auto"/>
              <w:rPr>
                <w:rFonts w:eastAsia="Times New Roman"/>
                <w:color w:val="000000"/>
                <w:lang w:eastAsia="en-AU"/>
              </w:rPr>
            </w:pPr>
            <w:r>
              <w:rPr>
                <w:rFonts w:eastAsia="Times New Roman"/>
                <w:color w:val="000000"/>
                <w:lang w:eastAsia="en-AU"/>
              </w:rPr>
              <w:t>Matthew Abraham</w:t>
            </w:r>
          </w:p>
        </w:tc>
        <w:tc>
          <w:tcPr>
            <w:tcW w:w="3686" w:type="dxa"/>
            <w:shd w:val="clear" w:color="auto" w:fill="auto"/>
            <w:noWrap/>
            <w:vAlign w:val="bottom"/>
            <w:hideMark/>
          </w:tcPr>
          <w:p w:rsidR="001934EC" w:rsidRPr="00282E52" w:rsidRDefault="004556E2" w:rsidP="001934EC">
            <w:pPr>
              <w:spacing w:after="0" w:line="240" w:lineRule="auto"/>
              <w:rPr>
                <w:rFonts w:eastAsia="Times New Roman"/>
                <w:color w:val="000000"/>
                <w:lang w:eastAsia="en-AU"/>
              </w:rPr>
            </w:pPr>
            <w:r>
              <w:rPr>
                <w:rFonts w:eastAsia="Times New Roman"/>
                <w:color w:val="000000"/>
                <w:lang w:eastAsia="en-AU"/>
              </w:rPr>
              <w:t>United Energy &amp; Multi Gas</w:t>
            </w:r>
          </w:p>
        </w:tc>
      </w:tr>
      <w:tr w:rsidR="008F1687" w:rsidRPr="00BC4991" w:rsidTr="001934EC">
        <w:trPr>
          <w:trHeight w:val="300"/>
        </w:trPr>
        <w:tc>
          <w:tcPr>
            <w:tcW w:w="2422" w:type="dxa"/>
            <w:shd w:val="clear" w:color="auto" w:fill="auto"/>
            <w:noWrap/>
            <w:vAlign w:val="bottom"/>
            <w:hideMark/>
          </w:tcPr>
          <w:p w:rsidR="008F1687" w:rsidRPr="00282E52" w:rsidRDefault="004556E2" w:rsidP="008F1687">
            <w:pPr>
              <w:spacing w:after="0" w:line="240" w:lineRule="auto"/>
              <w:rPr>
                <w:rFonts w:eastAsia="Times New Roman"/>
                <w:color w:val="000000"/>
                <w:lang w:eastAsia="en-AU"/>
              </w:rPr>
            </w:pPr>
            <w:r>
              <w:rPr>
                <w:rFonts w:eastAsia="Times New Roman"/>
                <w:color w:val="000000"/>
                <w:lang w:eastAsia="en-AU"/>
              </w:rPr>
              <w:t>Nicola Roscoe</w:t>
            </w:r>
          </w:p>
        </w:tc>
        <w:tc>
          <w:tcPr>
            <w:tcW w:w="3686" w:type="dxa"/>
            <w:shd w:val="clear" w:color="auto" w:fill="auto"/>
            <w:noWrap/>
            <w:vAlign w:val="bottom"/>
            <w:hideMark/>
          </w:tcPr>
          <w:p w:rsidR="008F1687" w:rsidRPr="00282E52" w:rsidRDefault="004556E2" w:rsidP="008F1687">
            <w:pPr>
              <w:spacing w:after="0" w:line="240" w:lineRule="auto"/>
              <w:rPr>
                <w:rFonts w:eastAsia="Times New Roman"/>
                <w:color w:val="000000"/>
                <w:lang w:eastAsia="en-AU"/>
              </w:rPr>
            </w:pPr>
            <w:r>
              <w:rPr>
                <w:rFonts w:eastAsia="Times New Roman"/>
                <w:color w:val="000000"/>
                <w:lang w:eastAsia="en-AU"/>
              </w:rPr>
              <w:t>Energex</w:t>
            </w:r>
          </w:p>
        </w:tc>
      </w:tr>
      <w:tr w:rsidR="008F1687" w:rsidRPr="00BC4991" w:rsidTr="001934EC">
        <w:trPr>
          <w:trHeight w:val="300"/>
        </w:trPr>
        <w:tc>
          <w:tcPr>
            <w:tcW w:w="2422" w:type="dxa"/>
            <w:shd w:val="clear" w:color="auto" w:fill="auto"/>
            <w:noWrap/>
            <w:vAlign w:val="bottom"/>
          </w:tcPr>
          <w:p w:rsidR="008F1687" w:rsidRPr="00282E52" w:rsidRDefault="004556E2" w:rsidP="008F1687">
            <w:pPr>
              <w:spacing w:after="0" w:line="240" w:lineRule="auto"/>
              <w:rPr>
                <w:rFonts w:eastAsia="Times New Roman"/>
                <w:color w:val="000000"/>
                <w:lang w:eastAsia="en-AU"/>
              </w:rPr>
            </w:pPr>
            <w:r>
              <w:rPr>
                <w:rFonts w:eastAsia="Times New Roman"/>
                <w:color w:val="000000"/>
                <w:lang w:eastAsia="en-AU"/>
              </w:rPr>
              <w:t>Peter Wong</w:t>
            </w:r>
          </w:p>
        </w:tc>
        <w:tc>
          <w:tcPr>
            <w:tcW w:w="3686" w:type="dxa"/>
            <w:shd w:val="clear" w:color="auto" w:fill="auto"/>
            <w:noWrap/>
            <w:vAlign w:val="bottom"/>
          </w:tcPr>
          <w:p w:rsidR="008F1687" w:rsidRPr="00282E52" w:rsidRDefault="004556E2" w:rsidP="008F1687">
            <w:pPr>
              <w:spacing w:after="0" w:line="240" w:lineRule="auto"/>
              <w:rPr>
                <w:rFonts w:eastAsia="Times New Roman"/>
                <w:color w:val="000000"/>
                <w:lang w:eastAsia="en-AU"/>
              </w:rPr>
            </w:pPr>
            <w:r>
              <w:rPr>
                <w:rFonts w:eastAsia="Times New Roman"/>
                <w:color w:val="000000"/>
                <w:lang w:eastAsia="en-AU"/>
              </w:rPr>
              <w:t>Jemena</w:t>
            </w:r>
          </w:p>
        </w:tc>
      </w:tr>
      <w:tr w:rsidR="004C231C" w:rsidRPr="00BC4991" w:rsidTr="001934EC">
        <w:trPr>
          <w:trHeight w:val="300"/>
        </w:trPr>
        <w:tc>
          <w:tcPr>
            <w:tcW w:w="2422" w:type="dxa"/>
            <w:shd w:val="clear" w:color="auto" w:fill="auto"/>
            <w:noWrap/>
            <w:vAlign w:val="bottom"/>
          </w:tcPr>
          <w:p w:rsidR="004C231C" w:rsidRPr="00282E52" w:rsidRDefault="004556E2" w:rsidP="0072103C">
            <w:pPr>
              <w:spacing w:after="0" w:line="240" w:lineRule="auto"/>
              <w:rPr>
                <w:rFonts w:eastAsia="Times New Roman"/>
                <w:color w:val="000000"/>
                <w:lang w:eastAsia="en-AU"/>
              </w:rPr>
            </w:pPr>
            <w:r>
              <w:rPr>
                <w:rFonts w:eastAsia="Times New Roman"/>
                <w:color w:val="000000"/>
                <w:lang w:eastAsia="en-AU"/>
              </w:rPr>
              <w:t>Eric Lindner</w:t>
            </w:r>
          </w:p>
        </w:tc>
        <w:tc>
          <w:tcPr>
            <w:tcW w:w="3686" w:type="dxa"/>
            <w:shd w:val="clear" w:color="auto" w:fill="auto"/>
            <w:noWrap/>
            <w:vAlign w:val="bottom"/>
          </w:tcPr>
          <w:p w:rsidR="004C231C" w:rsidRPr="00282E52" w:rsidRDefault="004556E2" w:rsidP="0072103C">
            <w:pPr>
              <w:spacing w:after="0" w:line="240" w:lineRule="auto"/>
              <w:rPr>
                <w:rFonts w:eastAsia="Times New Roman"/>
                <w:color w:val="000000"/>
                <w:lang w:eastAsia="en-AU"/>
              </w:rPr>
            </w:pPr>
            <w:r>
              <w:rPr>
                <w:rFonts w:eastAsia="Times New Roman"/>
                <w:color w:val="000000"/>
                <w:lang w:eastAsia="en-AU"/>
              </w:rPr>
              <w:t>SA Power Networks</w:t>
            </w:r>
          </w:p>
        </w:tc>
      </w:tr>
      <w:tr w:rsidR="004C231C" w:rsidRPr="00BC4991" w:rsidTr="001934EC">
        <w:trPr>
          <w:trHeight w:val="300"/>
        </w:trPr>
        <w:tc>
          <w:tcPr>
            <w:tcW w:w="2422" w:type="dxa"/>
            <w:shd w:val="clear" w:color="auto" w:fill="auto"/>
            <w:noWrap/>
            <w:vAlign w:val="bottom"/>
          </w:tcPr>
          <w:p w:rsidR="004C231C" w:rsidRPr="00282E52" w:rsidRDefault="004556E2" w:rsidP="0072103C">
            <w:pPr>
              <w:spacing w:after="0" w:line="240" w:lineRule="auto"/>
              <w:rPr>
                <w:rFonts w:eastAsia="Times New Roman"/>
                <w:color w:val="000000"/>
                <w:lang w:eastAsia="en-AU"/>
              </w:rPr>
            </w:pPr>
            <w:r>
              <w:rPr>
                <w:rFonts w:eastAsia="Times New Roman"/>
                <w:color w:val="000000"/>
                <w:lang w:eastAsia="en-AU"/>
              </w:rPr>
              <w:t>Katie Yates</w:t>
            </w:r>
          </w:p>
        </w:tc>
        <w:tc>
          <w:tcPr>
            <w:tcW w:w="3686" w:type="dxa"/>
            <w:shd w:val="clear" w:color="auto" w:fill="auto"/>
            <w:noWrap/>
            <w:vAlign w:val="bottom"/>
          </w:tcPr>
          <w:p w:rsidR="004C231C" w:rsidRPr="00282E52" w:rsidRDefault="004556E2" w:rsidP="0072103C">
            <w:pPr>
              <w:spacing w:after="0" w:line="240" w:lineRule="auto"/>
              <w:rPr>
                <w:rFonts w:eastAsia="Times New Roman"/>
                <w:color w:val="000000"/>
                <w:lang w:eastAsia="en-AU"/>
              </w:rPr>
            </w:pPr>
            <w:r>
              <w:rPr>
                <w:rFonts w:eastAsia="Times New Roman"/>
                <w:color w:val="000000"/>
                <w:lang w:eastAsia="en-AU"/>
              </w:rPr>
              <w:t xml:space="preserve">SP </w:t>
            </w:r>
            <w:proofErr w:type="spellStart"/>
            <w:r>
              <w:rPr>
                <w:rFonts w:eastAsia="Times New Roman"/>
                <w:color w:val="000000"/>
                <w:lang w:eastAsia="en-AU"/>
              </w:rPr>
              <w:t>AusNet</w:t>
            </w:r>
            <w:proofErr w:type="spellEnd"/>
          </w:p>
        </w:tc>
      </w:tr>
      <w:tr w:rsidR="004556E2" w:rsidRPr="00BC4991" w:rsidTr="001934EC">
        <w:trPr>
          <w:trHeight w:val="300"/>
        </w:trPr>
        <w:tc>
          <w:tcPr>
            <w:tcW w:w="2422"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 xml:space="preserve">Brian </w:t>
            </w:r>
            <w:proofErr w:type="spellStart"/>
            <w:r>
              <w:rPr>
                <w:rFonts w:eastAsia="Times New Roman"/>
                <w:color w:val="000000"/>
                <w:lang w:eastAsia="en-AU"/>
              </w:rPr>
              <w:t>Nuttall</w:t>
            </w:r>
            <w:proofErr w:type="spellEnd"/>
          </w:p>
        </w:tc>
        <w:tc>
          <w:tcPr>
            <w:tcW w:w="3686"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proofErr w:type="spellStart"/>
            <w:r>
              <w:rPr>
                <w:rFonts w:eastAsia="Times New Roman"/>
                <w:color w:val="000000"/>
                <w:lang w:eastAsia="en-AU"/>
              </w:rPr>
              <w:t>Nuttall</w:t>
            </w:r>
            <w:proofErr w:type="spellEnd"/>
            <w:r>
              <w:rPr>
                <w:rFonts w:eastAsia="Times New Roman"/>
                <w:color w:val="000000"/>
                <w:lang w:eastAsia="en-AU"/>
              </w:rPr>
              <w:t xml:space="preserve"> Consulting</w:t>
            </w:r>
          </w:p>
        </w:tc>
      </w:tr>
      <w:tr w:rsidR="004556E2" w:rsidRPr="00BC4991" w:rsidTr="001934EC">
        <w:trPr>
          <w:trHeight w:val="300"/>
        </w:trPr>
        <w:tc>
          <w:tcPr>
            <w:tcW w:w="2422"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Paul Dunn</w:t>
            </w:r>
          </w:p>
        </w:tc>
        <w:tc>
          <w:tcPr>
            <w:tcW w:w="3686"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Esmond Smith</w:t>
            </w:r>
          </w:p>
        </w:tc>
        <w:tc>
          <w:tcPr>
            <w:tcW w:w="3686"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Matthew Simpson</w:t>
            </w:r>
          </w:p>
        </w:tc>
        <w:tc>
          <w:tcPr>
            <w:tcW w:w="3686"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Israel del Mundo</w:t>
            </w:r>
          </w:p>
        </w:tc>
        <w:tc>
          <w:tcPr>
            <w:tcW w:w="3686"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Max Hooper</w:t>
            </w:r>
          </w:p>
        </w:tc>
        <w:tc>
          <w:tcPr>
            <w:tcW w:w="3686"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Anthony Hynes</w:t>
            </w:r>
          </w:p>
        </w:tc>
        <w:tc>
          <w:tcPr>
            <w:tcW w:w="3686" w:type="dxa"/>
            <w:shd w:val="clear" w:color="auto" w:fill="auto"/>
            <w:noWrap/>
            <w:vAlign w:val="bottom"/>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AER</w:t>
            </w:r>
          </w:p>
        </w:tc>
      </w:tr>
      <w:tr w:rsidR="004556E2" w:rsidRPr="00C328B4" w:rsidTr="001934EC">
        <w:trPr>
          <w:trHeight w:val="300"/>
        </w:trPr>
        <w:tc>
          <w:tcPr>
            <w:tcW w:w="2422" w:type="dxa"/>
            <w:shd w:val="clear" w:color="auto" w:fill="auto"/>
            <w:noWrap/>
            <w:vAlign w:val="bottom"/>
          </w:tcPr>
          <w:p w:rsidR="004556E2" w:rsidRPr="00282E52" w:rsidRDefault="004556E2" w:rsidP="001171E5">
            <w:pPr>
              <w:spacing w:after="0" w:line="240" w:lineRule="auto"/>
              <w:rPr>
                <w:rFonts w:eastAsia="Times New Roman"/>
                <w:color w:val="000000"/>
                <w:lang w:eastAsia="en-AU"/>
              </w:rPr>
            </w:pPr>
          </w:p>
        </w:tc>
        <w:tc>
          <w:tcPr>
            <w:tcW w:w="3686" w:type="dxa"/>
            <w:shd w:val="clear" w:color="auto" w:fill="auto"/>
            <w:noWrap/>
            <w:vAlign w:val="bottom"/>
          </w:tcPr>
          <w:p w:rsidR="004556E2" w:rsidRPr="00282E52" w:rsidRDefault="004556E2" w:rsidP="001934EC">
            <w:pPr>
              <w:spacing w:after="0" w:line="240" w:lineRule="auto"/>
              <w:rPr>
                <w:rFonts w:eastAsia="Times New Roman"/>
                <w:color w:val="000000"/>
                <w:lang w:eastAsia="en-AU"/>
              </w:rPr>
            </w:pPr>
          </w:p>
        </w:tc>
      </w:tr>
      <w:tr w:rsidR="004556E2" w:rsidRPr="00C328B4" w:rsidTr="001934EC">
        <w:trPr>
          <w:trHeight w:val="300"/>
        </w:trPr>
        <w:tc>
          <w:tcPr>
            <w:tcW w:w="2422" w:type="dxa"/>
            <w:shd w:val="clear" w:color="auto" w:fill="auto"/>
            <w:noWrap/>
            <w:vAlign w:val="bottom"/>
          </w:tcPr>
          <w:p w:rsidR="004556E2" w:rsidRPr="00282E52" w:rsidRDefault="004556E2" w:rsidP="001934EC">
            <w:pPr>
              <w:spacing w:after="0" w:line="240" w:lineRule="auto"/>
              <w:rPr>
                <w:rFonts w:eastAsia="Times New Roman"/>
                <w:color w:val="000000"/>
                <w:lang w:eastAsia="en-AU"/>
              </w:rPr>
            </w:pPr>
          </w:p>
        </w:tc>
        <w:tc>
          <w:tcPr>
            <w:tcW w:w="3686" w:type="dxa"/>
            <w:shd w:val="clear" w:color="auto" w:fill="auto"/>
            <w:noWrap/>
            <w:vAlign w:val="bottom"/>
          </w:tcPr>
          <w:p w:rsidR="004556E2" w:rsidRPr="00282E52" w:rsidRDefault="004556E2" w:rsidP="001934EC">
            <w:pPr>
              <w:spacing w:after="0" w:line="240" w:lineRule="auto"/>
              <w:rPr>
                <w:rFonts w:eastAsia="Times New Roman"/>
                <w:color w:val="000000"/>
                <w:lang w:eastAsia="en-AU"/>
              </w:rPr>
            </w:pPr>
          </w:p>
        </w:tc>
      </w:tr>
      <w:tr w:rsidR="004556E2" w:rsidRPr="00C328B4" w:rsidTr="001934EC">
        <w:trPr>
          <w:trHeight w:val="300"/>
        </w:trPr>
        <w:tc>
          <w:tcPr>
            <w:tcW w:w="2422" w:type="dxa"/>
            <w:shd w:val="clear" w:color="auto" w:fill="auto"/>
            <w:noWrap/>
            <w:vAlign w:val="bottom"/>
          </w:tcPr>
          <w:p w:rsidR="004556E2" w:rsidRPr="00282E52" w:rsidRDefault="004556E2" w:rsidP="001934EC">
            <w:pPr>
              <w:spacing w:after="0" w:line="240" w:lineRule="auto"/>
              <w:rPr>
                <w:rFonts w:eastAsia="Times New Roman"/>
                <w:color w:val="000000"/>
                <w:lang w:eastAsia="en-AU"/>
              </w:rPr>
            </w:pPr>
          </w:p>
        </w:tc>
        <w:tc>
          <w:tcPr>
            <w:tcW w:w="3686" w:type="dxa"/>
            <w:shd w:val="clear" w:color="auto" w:fill="auto"/>
            <w:noWrap/>
            <w:vAlign w:val="bottom"/>
          </w:tcPr>
          <w:p w:rsidR="004556E2" w:rsidRPr="00282E52" w:rsidRDefault="004556E2" w:rsidP="001934EC">
            <w:pPr>
              <w:spacing w:after="0" w:line="240" w:lineRule="auto"/>
              <w:rPr>
                <w:rFonts w:eastAsia="Times New Roman"/>
                <w:color w:val="000000"/>
                <w:lang w:eastAsia="en-AU"/>
              </w:rPr>
            </w:pPr>
          </w:p>
        </w:tc>
      </w:tr>
    </w:tbl>
    <w:p w:rsidR="001934EC" w:rsidRDefault="001934EC" w:rsidP="00B33ECD"/>
    <w:p w:rsidR="008068C0" w:rsidRPr="008068C0" w:rsidRDefault="008068C0" w:rsidP="008068C0">
      <w:pPr>
        <w:rPr>
          <w:b/>
        </w:rPr>
      </w:pPr>
      <w:r w:rsidRPr="008068C0">
        <w:rPr>
          <w:b/>
        </w:rPr>
        <w:t>Sydney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3686"/>
      </w:tblGrid>
      <w:tr w:rsidR="008068C0" w:rsidRPr="00C328B4" w:rsidTr="008068C0">
        <w:trPr>
          <w:trHeight w:val="300"/>
        </w:trPr>
        <w:tc>
          <w:tcPr>
            <w:tcW w:w="2422" w:type="dxa"/>
            <w:shd w:val="clear" w:color="auto" w:fill="auto"/>
            <w:noWrap/>
            <w:vAlign w:val="bottom"/>
            <w:hideMark/>
          </w:tcPr>
          <w:p w:rsidR="008068C0" w:rsidRPr="00C328B4" w:rsidRDefault="008068C0" w:rsidP="00BD5AAA">
            <w:pPr>
              <w:spacing w:after="0" w:line="240" w:lineRule="auto"/>
              <w:rPr>
                <w:rFonts w:eastAsia="Times New Roman"/>
                <w:b/>
                <w:color w:val="000000"/>
                <w:lang w:eastAsia="en-AU"/>
              </w:rPr>
            </w:pPr>
            <w:r w:rsidRPr="00C328B4">
              <w:rPr>
                <w:rFonts w:eastAsia="Times New Roman"/>
                <w:b/>
                <w:color w:val="000000"/>
                <w:lang w:eastAsia="en-AU"/>
              </w:rPr>
              <w:t>Name</w:t>
            </w:r>
          </w:p>
        </w:tc>
        <w:tc>
          <w:tcPr>
            <w:tcW w:w="3686" w:type="dxa"/>
            <w:shd w:val="clear" w:color="auto" w:fill="auto"/>
            <w:noWrap/>
            <w:vAlign w:val="bottom"/>
            <w:hideMark/>
          </w:tcPr>
          <w:p w:rsidR="008068C0" w:rsidRPr="00C328B4" w:rsidRDefault="008068C0" w:rsidP="00BD5AAA">
            <w:pPr>
              <w:spacing w:after="0" w:line="240" w:lineRule="auto"/>
              <w:ind w:right="-825"/>
              <w:rPr>
                <w:rFonts w:eastAsia="Times New Roman"/>
                <w:b/>
                <w:color w:val="000000"/>
                <w:lang w:eastAsia="en-AU"/>
              </w:rPr>
            </w:pPr>
            <w:r w:rsidRPr="00C328B4">
              <w:rPr>
                <w:rFonts w:eastAsia="Times New Roman"/>
                <w:b/>
                <w:color w:val="000000"/>
                <w:lang w:eastAsia="en-AU"/>
              </w:rPr>
              <w:t>Organisation</w:t>
            </w:r>
          </w:p>
        </w:tc>
      </w:tr>
      <w:tr w:rsidR="008F1687" w:rsidRPr="00C328B4" w:rsidTr="008068C0">
        <w:trPr>
          <w:trHeight w:val="300"/>
        </w:trPr>
        <w:tc>
          <w:tcPr>
            <w:tcW w:w="2422" w:type="dxa"/>
            <w:shd w:val="clear" w:color="auto" w:fill="auto"/>
            <w:noWrap/>
            <w:vAlign w:val="bottom"/>
            <w:hideMark/>
          </w:tcPr>
          <w:p w:rsidR="008F1687" w:rsidRPr="00282E52" w:rsidRDefault="004556E2" w:rsidP="008F1687">
            <w:pPr>
              <w:spacing w:after="0" w:line="240" w:lineRule="auto"/>
              <w:rPr>
                <w:rFonts w:eastAsia="Times New Roman"/>
                <w:color w:val="000000"/>
                <w:lang w:eastAsia="en-AU"/>
              </w:rPr>
            </w:pPr>
            <w:r>
              <w:rPr>
                <w:rFonts w:eastAsia="Times New Roman"/>
                <w:color w:val="000000"/>
                <w:lang w:eastAsia="en-AU"/>
              </w:rPr>
              <w:t>Terry Holmes</w:t>
            </w:r>
          </w:p>
        </w:tc>
        <w:tc>
          <w:tcPr>
            <w:tcW w:w="3686" w:type="dxa"/>
            <w:shd w:val="clear" w:color="auto" w:fill="auto"/>
            <w:noWrap/>
            <w:vAlign w:val="bottom"/>
            <w:hideMark/>
          </w:tcPr>
          <w:p w:rsidR="008F1687" w:rsidRPr="00282E52" w:rsidRDefault="004556E2" w:rsidP="008F1687">
            <w:pPr>
              <w:spacing w:after="0" w:line="240" w:lineRule="auto"/>
              <w:rPr>
                <w:rFonts w:eastAsia="Times New Roman"/>
                <w:color w:val="000000"/>
                <w:lang w:eastAsia="en-AU"/>
              </w:rPr>
            </w:pPr>
            <w:r>
              <w:rPr>
                <w:rFonts w:eastAsia="Times New Roman"/>
                <w:color w:val="000000"/>
                <w:lang w:eastAsia="en-AU"/>
              </w:rPr>
              <w:t>Essential Energy</w:t>
            </w:r>
          </w:p>
        </w:tc>
      </w:tr>
      <w:tr w:rsidR="008F1687" w:rsidRPr="00C328B4" w:rsidTr="008068C0">
        <w:trPr>
          <w:trHeight w:val="300"/>
        </w:trPr>
        <w:tc>
          <w:tcPr>
            <w:tcW w:w="2422" w:type="dxa"/>
            <w:shd w:val="clear" w:color="auto" w:fill="auto"/>
            <w:noWrap/>
            <w:vAlign w:val="bottom"/>
            <w:hideMark/>
          </w:tcPr>
          <w:p w:rsidR="008F1687" w:rsidRPr="00282E52" w:rsidRDefault="004556E2" w:rsidP="00BD5AAA">
            <w:pPr>
              <w:spacing w:after="0" w:line="240" w:lineRule="auto"/>
              <w:rPr>
                <w:rFonts w:eastAsia="Times New Roman"/>
                <w:color w:val="000000"/>
                <w:lang w:eastAsia="en-AU"/>
              </w:rPr>
            </w:pPr>
            <w:r>
              <w:rPr>
                <w:rFonts w:eastAsia="Times New Roman"/>
                <w:color w:val="000000"/>
                <w:lang w:eastAsia="en-AU"/>
              </w:rPr>
              <w:t>Ed King</w:t>
            </w:r>
          </w:p>
        </w:tc>
        <w:tc>
          <w:tcPr>
            <w:tcW w:w="3686" w:type="dxa"/>
            <w:shd w:val="clear" w:color="auto" w:fill="auto"/>
            <w:noWrap/>
            <w:vAlign w:val="bottom"/>
            <w:hideMark/>
          </w:tcPr>
          <w:p w:rsidR="008F1687" w:rsidRPr="00282E52" w:rsidRDefault="004556E2" w:rsidP="00BD5AAA">
            <w:pPr>
              <w:spacing w:after="0" w:line="240" w:lineRule="auto"/>
              <w:rPr>
                <w:rFonts w:eastAsia="Times New Roman"/>
                <w:color w:val="000000"/>
                <w:lang w:eastAsia="en-AU"/>
              </w:rPr>
            </w:pPr>
            <w:r>
              <w:rPr>
                <w:rFonts w:eastAsia="Times New Roman"/>
                <w:color w:val="000000"/>
                <w:lang w:eastAsia="en-AU"/>
              </w:rPr>
              <w:t>Ausgrid</w:t>
            </w:r>
          </w:p>
        </w:tc>
      </w:tr>
      <w:tr w:rsidR="008F1687" w:rsidRPr="00C328B4" w:rsidTr="008068C0">
        <w:trPr>
          <w:trHeight w:val="300"/>
        </w:trPr>
        <w:tc>
          <w:tcPr>
            <w:tcW w:w="2422" w:type="dxa"/>
            <w:shd w:val="clear" w:color="auto" w:fill="auto"/>
            <w:noWrap/>
            <w:vAlign w:val="bottom"/>
            <w:hideMark/>
          </w:tcPr>
          <w:p w:rsidR="008F1687" w:rsidRPr="00282E52" w:rsidRDefault="004556E2" w:rsidP="00BD5AAA">
            <w:pPr>
              <w:spacing w:after="0" w:line="240" w:lineRule="auto"/>
              <w:rPr>
                <w:rFonts w:eastAsia="Times New Roman"/>
                <w:color w:val="000000"/>
                <w:lang w:eastAsia="en-AU"/>
              </w:rPr>
            </w:pPr>
            <w:r>
              <w:rPr>
                <w:rFonts w:eastAsia="Times New Roman"/>
                <w:color w:val="000000"/>
                <w:lang w:eastAsia="en-AU"/>
              </w:rPr>
              <w:t>Rick Wallace</w:t>
            </w:r>
          </w:p>
        </w:tc>
        <w:tc>
          <w:tcPr>
            <w:tcW w:w="3686" w:type="dxa"/>
            <w:shd w:val="clear" w:color="auto" w:fill="auto"/>
            <w:noWrap/>
            <w:vAlign w:val="bottom"/>
            <w:hideMark/>
          </w:tcPr>
          <w:p w:rsidR="008F1687" w:rsidRPr="00282E52" w:rsidRDefault="004556E2" w:rsidP="00BD5AAA">
            <w:pPr>
              <w:spacing w:after="0" w:line="240" w:lineRule="auto"/>
              <w:rPr>
                <w:rFonts w:eastAsia="Times New Roman"/>
                <w:color w:val="000000"/>
                <w:lang w:eastAsia="en-AU"/>
              </w:rPr>
            </w:pPr>
            <w:r>
              <w:rPr>
                <w:rFonts w:eastAsia="Times New Roman"/>
                <w:color w:val="000000"/>
                <w:lang w:eastAsia="en-AU"/>
              </w:rPr>
              <w:t>Endeavour Energy</w:t>
            </w:r>
          </w:p>
        </w:tc>
      </w:tr>
      <w:tr w:rsidR="004556E2" w:rsidRPr="00C328B4" w:rsidTr="008068C0">
        <w:trPr>
          <w:trHeight w:val="300"/>
        </w:trPr>
        <w:tc>
          <w:tcPr>
            <w:tcW w:w="2422" w:type="dxa"/>
            <w:shd w:val="clear" w:color="auto" w:fill="auto"/>
            <w:noWrap/>
            <w:vAlign w:val="bottom"/>
            <w:hideMark/>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Lawrence Irlam</w:t>
            </w:r>
          </w:p>
        </w:tc>
        <w:tc>
          <w:tcPr>
            <w:tcW w:w="3686" w:type="dxa"/>
            <w:shd w:val="clear" w:color="auto" w:fill="auto"/>
            <w:noWrap/>
            <w:vAlign w:val="bottom"/>
            <w:hideMark/>
          </w:tcPr>
          <w:p w:rsidR="004556E2" w:rsidRPr="00282E52" w:rsidRDefault="004556E2" w:rsidP="000060B3">
            <w:pPr>
              <w:spacing w:after="0" w:line="240" w:lineRule="auto"/>
              <w:rPr>
                <w:rFonts w:eastAsia="Times New Roman"/>
                <w:color w:val="000000"/>
                <w:lang w:eastAsia="en-AU"/>
              </w:rPr>
            </w:pPr>
            <w:r>
              <w:rPr>
                <w:rFonts w:eastAsia="Times New Roman"/>
                <w:color w:val="000000"/>
                <w:lang w:eastAsia="en-AU"/>
              </w:rPr>
              <w:t>AER</w:t>
            </w:r>
          </w:p>
        </w:tc>
      </w:tr>
      <w:tr w:rsidR="004556E2" w:rsidRPr="00C328B4" w:rsidTr="008068C0">
        <w:trPr>
          <w:trHeight w:val="300"/>
        </w:trPr>
        <w:tc>
          <w:tcPr>
            <w:tcW w:w="2422" w:type="dxa"/>
            <w:shd w:val="clear" w:color="auto" w:fill="auto"/>
            <w:noWrap/>
            <w:vAlign w:val="bottom"/>
            <w:hideMark/>
          </w:tcPr>
          <w:p w:rsidR="004556E2" w:rsidRPr="00282E52" w:rsidRDefault="004556E2" w:rsidP="00BD5AAA">
            <w:pPr>
              <w:spacing w:after="0" w:line="240" w:lineRule="auto"/>
              <w:rPr>
                <w:rFonts w:eastAsia="Times New Roman"/>
                <w:color w:val="000000"/>
                <w:lang w:eastAsia="en-AU"/>
              </w:rPr>
            </w:pPr>
          </w:p>
        </w:tc>
        <w:tc>
          <w:tcPr>
            <w:tcW w:w="3686" w:type="dxa"/>
            <w:shd w:val="clear" w:color="auto" w:fill="auto"/>
            <w:noWrap/>
            <w:vAlign w:val="bottom"/>
            <w:hideMark/>
          </w:tcPr>
          <w:p w:rsidR="004556E2" w:rsidRPr="00282E52" w:rsidRDefault="004556E2" w:rsidP="00BD5AAA">
            <w:pPr>
              <w:spacing w:after="0" w:line="240" w:lineRule="auto"/>
              <w:rPr>
                <w:rFonts w:eastAsia="Times New Roman"/>
                <w:color w:val="000000"/>
                <w:lang w:eastAsia="en-AU"/>
              </w:rPr>
            </w:pPr>
          </w:p>
        </w:tc>
      </w:tr>
      <w:tr w:rsidR="004556E2" w:rsidRPr="00C328B4" w:rsidTr="008068C0">
        <w:trPr>
          <w:trHeight w:val="300"/>
        </w:trPr>
        <w:tc>
          <w:tcPr>
            <w:tcW w:w="2422" w:type="dxa"/>
            <w:shd w:val="clear" w:color="auto" w:fill="auto"/>
            <w:noWrap/>
            <w:vAlign w:val="bottom"/>
            <w:hideMark/>
          </w:tcPr>
          <w:p w:rsidR="004556E2" w:rsidRDefault="004556E2" w:rsidP="00BD5AAA">
            <w:pPr>
              <w:spacing w:after="0" w:line="240" w:lineRule="auto"/>
              <w:rPr>
                <w:rFonts w:eastAsia="Times New Roman"/>
                <w:color w:val="000000"/>
                <w:lang w:eastAsia="en-AU"/>
              </w:rPr>
            </w:pPr>
          </w:p>
        </w:tc>
        <w:tc>
          <w:tcPr>
            <w:tcW w:w="3686" w:type="dxa"/>
            <w:shd w:val="clear" w:color="auto" w:fill="auto"/>
            <w:noWrap/>
            <w:vAlign w:val="bottom"/>
            <w:hideMark/>
          </w:tcPr>
          <w:p w:rsidR="004556E2" w:rsidRDefault="004556E2" w:rsidP="00BD5AAA">
            <w:pPr>
              <w:spacing w:after="0" w:line="240" w:lineRule="auto"/>
              <w:rPr>
                <w:rFonts w:eastAsia="Times New Roman"/>
                <w:color w:val="000000"/>
                <w:lang w:eastAsia="en-AU"/>
              </w:rPr>
            </w:pPr>
          </w:p>
        </w:tc>
      </w:tr>
      <w:tr w:rsidR="004556E2" w:rsidRPr="00C328B4" w:rsidTr="008068C0">
        <w:trPr>
          <w:trHeight w:val="300"/>
        </w:trPr>
        <w:tc>
          <w:tcPr>
            <w:tcW w:w="2422" w:type="dxa"/>
            <w:shd w:val="clear" w:color="auto" w:fill="auto"/>
            <w:noWrap/>
            <w:vAlign w:val="bottom"/>
            <w:hideMark/>
          </w:tcPr>
          <w:p w:rsidR="004556E2" w:rsidRDefault="004556E2" w:rsidP="00BD5AAA">
            <w:pPr>
              <w:spacing w:after="0" w:line="240" w:lineRule="auto"/>
              <w:rPr>
                <w:rFonts w:eastAsia="Times New Roman"/>
                <w:color w:val="000000"/>
                <w:lang w:eastAsia="en-AU"/>
              </w:rPr>
            </w:pPr>
          </w:p>
        </w:tc>
        <w:tc>
          <w:tcPr>
            <w:tcW w:w="3686" w:type="dxa"/>
            <w:shd w:val="clear" w:color="auto" w:fill="auto"/>
            <w:noWrap/>
            <w:vAlign w:val="bottom"/>
            <w:hideMark/>
          </w:tcPr>
          <w:p w:rsidR="004556E2" w:rsidRDefault="004556E2" w:rsidP="00BD5AAA">
            <w:pPr>
              <w:spacing w:after="0" w:line="240" w:lineRule="auto"/>
              <w:rPr>
                <w:rFonts w:eastAsia="Times New Roman"/>
                <w:color w:val="000000"/>
                <w:lang w:eastAsia="en-AU"/>
              </w:rPr>
            </w:pPr>
          </w:p>
        </w:tc>
      </w:tr>
      <w:tr w:rsidR="004556E2" w:rsidRPr="00C328B4" w:rsidTr="008068C0">
        <w:trPr>
          <w:trHeight w:val="300"/>
        </w:trPr>
        <w:tc>
          <w:tcPr>
            <w:tcW w:w="2422" w:type="dxa"/>
            <w:shd w:val="clear" w:color="auto" w:fill="auto"/>
            <w:noWrap/>
            <w:vAlign w:val="bottom"/>
            <w:hideMark/>
          </w:tcPr>
          <w:p w:rsidR="004556E2" w:rsidRPr="00282E52" w:rsidRDefault="004556E2" w:rsidP="00BD5AAA">
            <w:pPr>
              <w:spacing w:after="0" w:line="240" w:lineRule="auto"/>
              <w:rPr>
                <w:rFonts w:eastAsia="Times New Roman"/>
                <w:color w:val="000000"/>
                <w:lang w:eastAsia="en-AU"/>
              </w:rPr>
            </w:pPr>
          </w:p>
        </w:tc>
        <w:tc>
          <w:tcPr>
            <w:tcW w:w="3686" w:type="dxa"/>
            <w:shd w:val="clear" w:color="auto" w:fill="auto"/>
            <w:noWrap/>
            <w:vAlign w:val="bottom"/>
            <w:hideMark/>
          </w:tcPr>
          <w:p w:rsidR="004556E2" w:rsidRPr="00282E52" w:rsidRDefault="004556E2" w:rsidP="00BD5AAA">
            <w:pPr>
              <w:spacing w:after="0" w:line="240" w:lineRule="auto"/>
              <w:rPr>
                <w:rFonts w:eastAsia="Times New Roman"/>
                <w:color w:val="000000"/>
                <w:lang w:eastAsia="en-AU"/>
              </w:rPr>
            </w:pPr>
          </w:p>
        </w:tc>
      </w:tr>
      <w:tr w:rsidR="004556E2" w:rsidRPr="00C328B4" w:rsidTr="008068C0">
        <w:trPr>
          <w:trHeight w:val="300"/>
        </w:trPr>
        <w:tc>
          <w:tcPr>
            <w:tcW w:w="2422" w:type="dxa"/>
            <w:shd w:val="clear" w:color="auto" w:fill="auto"/>
            <w:noWrap/>
            <w:vAlign w:val="bottom"/>
            <w:hideMark/>
          </w:tcPr>
          <w:p w:rsidR="004556E2" w:rsidRDefault="004556E2" w:rsidP="00BD5AAA">
            <w:pPr>
              <w:spacing w:after="0" w:line="240" w:lineRule="auto"/>
              <w:rPr>
                <w:rFonts w:eastAsia="Times New Roman"/>
                <w:color w:val="000000"/>
                <w:lang w:eastAsia="en-AU"/>
              </w:rPr>
            </w:pPr>
          </w:p>
        </w:tc>
        <w:tc>
          <w:tcPr>
            <w:tcW w:w="3686" w:type="dxa"/>
            <w:shd w:val="clear" w:color="auto" w:fill="auto"/>
            <w:noWrap/>
            <w:vAlign w:val="bottom"/>
            <w:hideMark/>
          </w:tcPr>
          <w:p w:rsidR="004556E2" w:rsidRDefault="004556E2" w:rsidP="00BD5AAA">
            <w:pPr>
              <w:spacing w:after="0" w:line="240" w:lineRule="auto"/>
              <w:rPr>
                <w:rFonts w:eastAsia="Times New Roman"/>
                <w:color w:val="000000"/>
                <w:lang w:eastAsia="en-AU"/>
              </w:rPr>
            </w:pPr>
          </w:p>
        </w:tc>
      </w:tr>
    </w:tbl>
    <w:p w:rsidR="008068C0" w:rsidRDefault="008068C0" w:rsidP="00B33ECD"/>
    <w:sectPr w:rsidR="008068C0" w:rsidSect="00913FA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CEB" w:rsidRDefault="00327CEB" w:rsidP="00157A96">
      <w:pPr>
        <w:spacing w:after="0" w:line="240" w:lineRule="auto"/>
      </w:pPr>
      <w:r>
        <w:separator/>
      </w:r>
    </w:p>
  </w:endnote>
  <w:endnote w:type="continuationSeparator" w:id="0">
    <w:p w:rsidR="00327CEB" w:rsidRDefault="00327CEB" w:rsidP="00157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EB" w:rsidRDefault="00602E82">
    <w:pPr>
      <w:pStyle w:val="Footer"/>
      <w:jc w:val="right"/>
    </w:pPr>
    <w:fldSimple w:instr=" PAGE   \* MERGEFORMAT ">
      <w:r w:rsidR="00EB71FC">
        <w:rPr>
          <w:noProof/>
        </w:rPr>
        <w:t>1</w:t>
      </w:r>
    </w:fldSimple>
  </w:p>
  <w:p w:rsidR="00327CEB" w:rsidRDefault="00327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CEB" w:rsidRDefault="00327CEB" w:rsidP="00157A96">
      <w:pPr>
        <w:spacing w:after="0" w:line="240" w:lineRule="auto"/>
      </w:pPr>
      <w:r>
        <w:separator/>
      </w:r>
    </w:p>
  </w:footnote>
  <w:footnote w:type="continuationSeparator" w:id="0">
    <w:p w:rsidR="00327CEB" w:rsidRDefault="00327CEB" w:rsidP="00157A96">
      <w:pPr>
        <w:spacing w:after="0" w:line="240" w:lineRule="auto"/>
      </w:pPr>
      <w:r>
        <w:continuationSeparator/>
      </w:r>
    </w:p>
  </w:footnote>
  <w:footnote w:id="1">
    <w:p w:rsidR="00327CEB" w:rsidRDefault="00327CEB" w:rsidP="00036F16">
      <w:pPr>
        <w:pStyle w:val="FootnoteText"/>
      </w:pPr>
      <w:r>
        <w:rPr>
          <w:rStyle w:val="FootnoteReference"/>
        </w:rPr>
        <w:footnoteRef/>
      </w:r>
      <w:r>
        <w:t xml:space="preserve"> The AER’s 28 February 2013 workshop explored higher level issues such as definitions, drivers and measures, and challenges in assessing </w:t>
      </w:r>
      <w:proofErr w:type="spellStart"/>
      <w:r>
        <w:t>repex</w:t>
      </w:r>
      <w:proofErr w:type="spellEnd"/>
      <w:r>
        <w:t xml:space="preserve"> and </w:t>
      </w:r>
      <w:proofErr w:type="spellStart"/>
      <w:r>
        <w:t>augex</w:t>
      </w:r>
      <w:proofErr w:type="spellEnd"/>
      <w:r>
        <w:t xml:space="preserve"> (for transmission and distribution).</w:t>
      </w:r>
    </w:p>
  </w:footnote>
  <w:footnote w:id="2">
    <w:p w:rsidR="00327CEB" w:rsidRDefault="00327CEB" w:rsidP="0064386B">
      <w:pPr>
        <w:pStyle w:val="FootnoteText"/>
      </w:pPr>
      <w:r>
        <w:rPr>
          <w:rStyle w:val="FootnoteReference"/>
        </w:rPr>
        <w:footnoteRef/>
      </w:r>
      <w:r>
        <w:t xml:space="preserve"> AER, </w:t>
      </w:r>
      <w:r w:rsidRPr="0064386B">
        <w:rPr>
          <w:i/>
        </w:rPr>
        <w:t xml:space="preserve">Summary of meeting: Expenditure forecast assessment guidelines </w:t>
      </w:r>
      <w:r>
        <w:rPr>
          <w:i/>
        </w:rPr>
        <w:t>working group meeting</w:t>
      </w:r>
      <w:r w:rsidRPr="0064386B">
        <w:rPr>
          <w:i/>
        </w:rPr>
        <w:t xml:space="preserve"> no. 3</w:t>
      </w:r>
      <w:r>
        <w:t>, 7 March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ADB"/>
    <w:multiLevelType w:val="hybridMultilevel"/>
    <w:tmpl w:val="DD0C9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3A0AEC"/>
    <w:multiLevelType w:val="hybridMultilevel"/>
    <w:tmpl w:val="6BD2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A5575B"/>
    <w:multiLevelType w:val="hybridMultilevel"/>
    <w:tmpl w:val="2BEA19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removePersonalInformation/>
  <w:removeDateAndTim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4512\D13 31197[V2]  AER - expenditure workshop no. 4 meeting summary - DNSP replacement and augmentation capex - 8 March 2013.DOCX"/>
  </w:docVars>
  <w:rsids>
    <w:rsidRoot w:val="0079222A"/>
    <w:rsid w:val="00000A86"/>
    <w:rsid w:val="00000C2E"/>
    <w:rsid w:val="00001A9F"/>
    <w:rsid w:val="000031AC"/>
    <w:rsid w:val="000052B9"/>
    <w:rsid w:val="000060B3"/>
    <w:rsid w:val="000074AD"/>
    <w:rsid w:val="00007565"/>
    <w:rsid w:val="000177E3"/>
    <w:rsid w:val="000216FB"/>
    <w:rsid w:val="00021B1F"/>
    <w:rsid w:val="00021CD8"/>
    <w:rsid w:val="000238C6"/>
    <w:rsid w:val="00024B73"/>
    <w:rsid w:val="0002542A"/>
    <w:rsid w:val="000266C3"/>
    <w:rsid w:val="00030576"/>
    <w:rsid w:val="00036F16"/>
    <w:rsid w:val="000379FE"/>
    <w:rsid w:val="00037A6E"/>
    <w:rsid w:val="00042A9D"/>
    <w:rsid w:val="000446DE"/>
    <w:rsid w:val="00051DC6"/>
    <w:rsid w:val="0005231A"/>
    <w:rsid w:val="0005328B"/>
    <w:rsid w:val="00053367"/>
    <w:rsid w:val="00053AC2"/>
    <w:rsid w:val="00054ECC"/>
    <w:rsid w:val="0006106A"/>
    <w:rsid w:val="00061C00"/>
    <w:rsid w:val="000632C4"/>
    <w:rsid w:val="0006518D"/>
    <w:rsid w:val="000672CB"/>
    <w:rsid w:val="000673FA"/>
    <w:rsid w:val="00070571"/>
    <w:rsid w:val="00075CBE"/>
    <w:rsid w:val="000770D5"/>
    <w:rsid w:val="00077807"/>
    <w:rsid w:val="00077DA4"/>
    <w:rsid w:val="00080CAE"/>
    <w:rsid w:val="00081553"/>
    <w:rsid w:val="0008424C"/>
    <w:rsid w:val="000847D7"/>
    <w:rsid w:val="00085741"/>
    <w:rsid w:val="00086A31"/>
    <w:rsid w:val="00086A88"/>
    <w:rsid w:val="00087470"/>
    <w:rsid w:val="000901C0"/>
    <w:rsid w:val="00091641"/>
    <w:rsid w:val="00091DC7"/>
    <w:rsid w:val="00091EA5"/>
    <w:rsid w:val="000921B1"/>
    <w:rsid w:val="00092216"/>
    <w:rsid w:val="00093D5D"/>
    <w:rsid w:val="00096C34"/>
    <w:rsid w:val="00096E87"/>
    <w:rsid w:val="000972DA"/>
    <w:rsid w:val="00097D5D"/>
    <w:rsid w:val="000A054E"/>
    <w:rsid w:val="000A3CC1"/>
    <w:rsid w:val="000A4A32"/>
    <w:rsid w:val="000A4C50"/>
    <w:rsid w:val="000A6993"/>
    <w:rsid w:val="000A6FD4"/>
    <w:rsid w:val="000B266D"/>
    <w:rsid w:val="000B5666"/>
    <w:rsid w:val="000B6836"/>
    <w:rsid w:val="000C0ABB"/>
    <w:rsid w:val="000C1318"/>
    <w:rsid w:val="000C1AD5"/>
    <w:rsid w:val="000C30B4"/>
    <w:rsid w:val="000C321B"/>
    <w:rsid w:val="000C53F8"/>
    <w:rsid w:val="000C54F5"/>
    <w:rsid w:val="000C7070"/>
    <w:rsid w:val="000D2082"/>
    <w:rsid w:val="000D208D"/>
    <w:rsid w:val="000D49DF"/>
    <w:rsid w:val="000D5D77"/>
    <w:rsid w:val="000E0A8A"/>
    <w:rsid w:val="000E2AA2"/>
    <w:rsid w:val="000E3B3C"/>
    <w:rsid w:val="000E4757"/>
    <w:rsid w:val="000E5A12"/>
    <w:rsid w:val="000E5A28"/>
    <w:rsid w:val="000E5EBA"/>
    <w:rsid w:val="000E6E79"/>
    <w:rsid w:val="000F0149"/>
    <w:rsid w:val="000F15FA"/>
    <w:rsid w:val="000F3A83"/>
    <w:rsid w:val="000F5621"/>
    <w:rsid w:val="000F5C6D"/>
    <w:rsid w:val="000F5F72"/>
    <w:rsid w:val="000F7D30"/>
    <w:rsid w:val="001011A7"/>
    <w:rsid w:val="00101AEC"/>
    <w:rsid w:val="00103CC4"/>
    <w:rsid w:val="0010509C"/>
    <w:rsid w:val="00105F97"/>
    <w:rsid w:val="00110C9F"/>
    <w:rsid w:val="00111042"/>
    <w:rsid w:val="00112A1F"/>
    <w:rsid w:val="00112B1A"/>
    <w:rsid w:val="00113B11"/>
    <w:rsid w:val="00113FD6"/>
    <w:rsid w:val="001140DA"/>
    <w:rsid w:val="00115B0C"/>
    <w:rsid w:val="001171E5"/>
    <w:rsid w:val="00120699"/>
    <w:rsid w:val="001236C8"/>
    <w:rsid w:val="0012670A"/>
    <w:rsid w:val="001279DD"/>
    <w:rsid w:val="0013030B"/>
    <w:rsid w:val="00130704"/>
    <w:rsid w:val="00130E52"/>
    <w:rsid w:val="001321A5"/>
    <w:rsid w:val="001325A7"/>
    <w:rsid w:val="0013270C"/>
    <w:rsid w:val="00132F06"/>
    <w:rsid w:val="00136173"/>
    <w:rsid w:val="001400AD"/>
    <w:rsid w:val="00141D02"/>
    <w:rsid w:val="00142487"/>
    <w:rsid w:val="00143859"/>
    <w:rsid w:val="001444EF"/>
    <w:rsid w:val="0014516B"/>
    <w:rsid w:val="00150BC9"/>
    <w:rsid w:val="00152401"/>
    <w:rsid w:val="0015473B"/>
    <w:rsid w:val="00155FEE"/>
    <w:rsid w:val="00156726"/>
    <w:rsid w:val="00156BC5"/>
    <w:rsid w:val="001579F7"/>
    <w:rsid w:val="00157A96"/>
    <w:rsid w:val="00160DF6"/>
    <w:rsid w:val="00162D40"/>
    <w:rsid w:val="00163346"/>
    <w:rsid w:val="00163389"/>
    <w:rsid w:val="00164484"/>
    <w:rsid w:val="00164557"/>
    <w:rsid w:val="00164B3C"/>
    <w:rsid w:val="0016692E"/>
    <w:rsid w:val="0017050B"/>
    <w:rsid w:val="00171420"/>
    <w:rsid w:val="001722C4"/>
    <w:rsid w:val="00172F87"/>
    <w:rsid w:val="001749EA"/>
    <w:rsid w:val="0017578F"/>
    <w:rsid w:val="00181B36"/>
    <w:rsid w:val="001826D0"/>
    <w:rsid w:val="00183510"/>
    <w:rsid w:val="001840BE"/>
    <w:rsid w:val="00184A07"/>
    <w:rsid w:val="00190D3B"/>
    <w:rsid w:val="00191370"/>
    <w:rsid w:val="001930C7"/>
    <w:rsid w:val="001934EC"/>
    <w:rsid w:val="00193CF0"/>
    <w:rsid w:val="00194EC7"/>
    <w:rsid w:val="001A1F3F"/>
    <w:rsid w:val="001A2ACA"/>
    <w:rsid w:val="001A4FC3"/>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53A9"/>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27FF6"/>
    <w:rsid w:val="0023044B"/>
    <w:rsid w:val="00230F7C"/>
    <w:rsid w:val="00231DF6"/>
    <w:rsid w:val="00233A4D"/>
    <w:rsid w:val="00234986"/>
    <w:rsid w:val="0024000C"/>
    <w:rsid w:val="002413F2"/>
    <w:rsid w:val="00244E76"/>
    <w:rsid w:val="002451F0"/>
    <w:rsid w:val="00245AE7"/>
    <w:rsid w:val="0024754A"/>
    <w:rsid w:val="002505F1"/>
    <w:rsid w:val="00250787"/>
    <w:rsid w:val="002542CB"/>
    <w:rsid w:val="00255BDD"/>
    <w:rsid w:val="00256E48"/>
    <w:rsid w:val="002625B0"/>
    <w:rsid w:val="00263EEA"/>
    <w:rsid w:val="0026452D"/>
    <w:rsid w:val="002650CC"/>
    <w:rsid w:val="0026791E"/>
    <w:rsid w:val="00271031"/>
    <w:rsid w:val="00272B01"/>
    <w:rsid w:val="00274077"/>
    <w:rsid w:val="00281F47"/>
    <w:rsid w:val="0028292B"/>
    <w:rsid w:val="00282CA0"/>
    <w:rsid w:val="002839F0"/>
    <w:rsid w:val="00283EDE"/>
    <w:rsid w:val="00286521"/>
    <w:rsid w:val="00286F35"/>
    <w:rsid w:val="00287DA8"/>
    <w:rsid w:val="00290046"/>
    <w:rsid w:val="00293A7B"/>
    <w:rsid w:val="002948FB"/>
    <w:rsid w:val="002A24E3"/>
    <w:rsid w:val="002B1FE8"/>
    <w:rsid w:val="002B297A"/>
    <w:rsid w:val="002B396E"/>
    <w:rsid w:val="002B7D5A"/>
    <w:rsid w:val="002B7D88"/>
    <w:rsid w:val="002C0580"/>
    <w:rsid w:val="002C3E22"/>
    <w:rsid w:val="002C5319"/>
    <w:rsid w:val="002C5D03"/>
    <w:rsid w:val="002D06A4"/>
    <w:rsid w:val="002D168F"/>
    <w:rsid w:val="002D31E1"/>
    <w:rsid w:val="002D5D9A"/>
    <w:rsid w:val="002E31A5"/>
    <w:rsid w:val="002E5FA1"/>
    <w:rsid w:val="002E7CC7"/>
    <w:rsid w:val="002F1CE4"/>
    <w:rsid w:val="002F35B0"/>
    <w:rsid w:val="002F35CE"/>
    <w:rsid w:val="002F44BF"/>
    <w:rsid w:val="002F4C54"/>
    <w:rsid w:val="002F7E24"/>
    <w:rsid w:val="0030009E"/>
    <w:rsid w:val="00304B6A"/>
    <w:rsid w:val="003068F7"/>
    <w:rsid w:val="003114BC"/>
    <w:rsid w:val="00311F17"/>
    <w:rsid w:val="00312191"/>
    <w:rsid w:val="003135D5"/>
    <w:rsid w:val="00314AAB"/>
    <w:rsid w:val="0031537E"/>
    <w:rsid w:val="00316AF9"/>
    <w:rsid w:val="00317E3B"/>
    <w:rsid w:val="00320916"/>
    <w:rsid w:val="003217FE"/>
    <w:rsid w:val="00323AC0"/>
    <w:rsid w:val="00323C1D"/>
    <w:rsid w:val="00324E67"/>
    <w:rsid w:val="00325B99"/>
    <w:rsid w:val="00325E7D"/>
    <w:rsid w:val="00326B2D"/>
    <w:rsid w:val="00327CEB"/>
    <w:rsid w:val="00331F7B"/>
    <w:rsid w:val="00332370"/>
    <w:rsid w:val="00335CFE"/>
    <w:rsid w:val="00335DD6"/>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2629"/>
    <w:rsid w:val="00364DDC"/>
    <w:rsid w:val="00365330"/>
    <w:rsid w:val="00365E8D"/>
    <w:rsid w:val="003660A0"/>
    <w:rsid w:val="00366A6E"/>
    <w:rsid w:val="00366AEE"/>
    <w:rsid w:val="00370B30"/>
    <w:rsid w:val="00371C00"/>
    <w:rsid w:val="00373400"/>
    <w:rsid w:val="003747E7"/>
    <w:rsid w:val="00375901"/>
    <w:rsid w:val="003805FA"/>
    <w:rsid w:val="00380E8C"/>
    <w:rsid w:val="0038283F"/>
    <w:rsid w:val="00387B78"/>
    <w:rsid w:val="00391242"/>
    <w:rsid w:val="00392021"/>
    <w:rsid w:val="0039255B"/>
    <w:rsid w:val="003937DB"/>
    <w:rsid w:val="003942E7"/>
    <w:rsid w:val="003943E4"/>
    <w:rsid w:val="0039475E"/>
    <w:rsid w:val="00395DBE"/>
    <w:rsid w:val="00396350"/>
    <w:rsid w:val="00396C3A"/>
    <w:rsid w:val="00397508"/>
    <w:rsid w:val="003A18DE"/>
    <w:rsid w:val="003A301B"/>
    <w:rsid w:val="003A455A"/>
    <w:rsid w:val="003A6A6B"/>
    <w:rsid w:val="003B2D3A"/>
    <w:rsid w:val="003B7E5E"/>
    <w:rsid w:val="003C2E31"/>
    <w:rsid w:val="003C466E"/>
    <w:rsid w:val="003C4A68"/>
    <w:rsid w:val="003C5F89"/>
    <w:rsid w:val="003C76F2"/>
    <w:rsid w:val="003D1F0D"/>
    <w:rsid w:val="003D249E"/>
    <w:rsid w:val="003D58A7"/>
    <w:rsid w:val="003D7B82"/>
    <w:rsid w:val="003E18A4"/>
    <w:rsid w:val="003E1BA9"/>
    <w:rsid w:val="003E1D3C"/>
    <w:rsid w:val="003E4F2B"/>
    <w:rsid w:val="003E6799"/>
    <w:rsid w:val="003E7081"/>
    <w:rsid w:val="003F06C2"/>
    <w:rsid w:val="003F09A4"/>
    <w:rsid w:val="003F5B30"/>
    <w:rsid w:val="003F6A27"/>
    <w:rsid w:val="00403604"/>
    <w:rsid w:val="00403D42"/>
    <w:rsid w:val="00404105"/>
    <w:rsid w:val="00405610"/>
    <w:rsid w:val="0040677B"/>
    <w:rsid w:val="00410D5A"/>
    <w:rsid w:val="00411427"/>
    <w:rsid w:val="00413060"/>
    <w:rsid w:val="0041311D"/>
    <w:rsid w:val="00415BBC"/>
    <w:rsid w:val="004162B4"/>
    <w:rsid w:val="00421924"/>
    <w:rsid w:val="00421CAA"/>
    <w:rsid w:val="00423224"/>
    <w:rsid w:val="0042571B"/>
    <w:rsid w:val="00425F62"/>
    <w:rsid w:val="00426112"/>
    <w:rsid w:val="004264BB"/>
    <w:rsid w:val="00426E15"/>
    <w:rsid w:val="004302B2"/>
    <w:rsid w:val="00431663"/>
    <w:rsid w:val="00437C12"/>
    <w:rsid w:val="004417D2"/>
    <w:rsid w:val="00441F56"/>
    <w:rsid w:val="00442648"/>
    <w:rsid w:val="00442C09"/>
    <w:rsid w:val="004436B5"/>
    <w:rsid w:val="0044569F"/>
    <w:rsid w:val="0044629F"/>
    <w:rsid w:val="00447210"/>
    <w:rsid w:val="004479E7"/>
    <w:rsid w:val="00450647"/>
    <w:rsid w:val="004518DF"/>
    <w:rsid w:val="00453BA5"/>
    <w:rsid w:val="00454581"/>
    <w:rsid w:val="004556E2"/>
    <w:rsid w:val="0045694A"/>
    <w:rsid w:val="004570C6"/>
    <w:rsid w:val="00462E00"/>
    <w:rsid w:val="004648C8"/>
    <w:rsid w:val="00464EAD"/>
    <w:rsid w:val="00465022"/>
    <w:rsid w:val="00465050"/>
    <w:rsid w:val="004652C2"/>
    <w:rsid w:val="00465380"/>
    <w:rsid w:val="004653BC"/>
    <w:rsid w:val="00465C99"/>
    <w:rsid w:val="0046763A"/>
    <w:rsid w:val="0047028E"/>
    <w:rsid w:val="00473425"/>
    <w:rsid w:val="004749E0"/>
    <w:rsid w:val="004752FF"/>
    <w:rsid w:val="00476E07"/>
    <w:rsid w:val="00480016"/>
    <w:rsid w:val="00481F91"/>
    <w:rsid w:val="004841BA"/>
    <w:rsid w:val="004857D1"/>
    <w:rsid w:val="00487F0D"/>
    <w:rsid w:val="004901FD"/>
    <w:rsid w:val="004911D6"/>
    <w:rsid w:val="004913A9"/>
    <w:rsid w:val="0049176E"/>
    <w:rsid w:val="00491C73"/>
    <w:rsid w:val="004922E8"/>
    <w:rsid w:val="00492E31"/>
    <w:rsid w:val="004A259B"/>
    <w:rsid w:val="004A3273"/>
    <w:rsid w:val="004A3658"/>
    <w:rsid w:val="004A5DB4"/>
    <w:rsid w:val="004B1494"/>
    <w:rsid w:val="004B1D67"/>
    <w:rsid w:val="004B2F99"/>
    <w:rsid w:val="004B2FE2"/>
    <w:rsid w:val="004B492F"/>
    <w:rsid w:val="004B4E6A"/>
    <w:rsid w:val="004B5057"/>
    <w:rsid w:val="004B5DDF"/>
    <w:rsid w:val="004B695B"/>
    <w:rsid w:val="004B6D28"/>
    <w:rsid w:val="004B6F61"/>
    <w:rsid w:val="004B763C"/>
    <w:rsid w:val="004C0786"/>
    <w:rsid w:val="004C0DD4"/>
    <w:rsid w:val="004C1C28"/>
    <w:rsid w:val="004C231C"/>
    <w:rsid w:val="004C2EE3"/>
    <w:rsid w:val="004C43C2"/>
    <w:rsid w:val="004C4416"/>
    <w:rsid w:val="004C52F0"/>
    <w:rsid w:val="004C61E3"/>
    <w:rsid w:val="004C67A1"/>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7D3"/>
    <w:rsid w:val="00503EB1"/>
    <w:rsid w:val="00505A2C"/>
    <w:rsid w:val="005066D6"/>
    <w:rsid w:val="00507909"/>
    <w:rsid w:val="0051033D"/>
    <w:rsid w:val="00511679"/>
    <w:rsid w:val="00511781"/>
    <w:rsid w:val="00512C41"/>
    <w:rsid w:val="00512C75"/>
    <w:rsid w:val="0051401B"/>
    <w:rsid w:val="00514B50"/>
    <w:rsid w:val="005151CF"/>
    <w:rsid w:val="005153B3"/>
    <w:rsid w:val="0051556A"/>
    <w:rsid w:val="00515B64"/>
    <w:rsid w:val="005271EF"/>
    <w:rsid w:val="00530B63"/>
    <w:rsid w:val="00530FD8"/>
    <w:rsid w:val="00531E4C"/>
    <w:rsid w:val="00533CFC"/>
    <w:rsid w:val="00534F24"/>
    <w:rsid w:val="0053542C"/>
    <w:rsid w:val="005355BA"/>
    <w:rsid w:val="00535ABE"/>
    <w:rsid w:val="00535F48"/>
    <w:rsid w:val="00536FBB"/>
    <w:rsid w:val="00540886"/>
    <w:rsid w:val="0054263F"/>
    <w:rsid w:val="005450B9"/>
    <w:rsid w:val="00546E61"/>
    <w:rsid w:val="00547042"/>
    <w:rsid w:val="00553CA4"/>
    <w:rsid w:val="005542FF"/>
    <w:rsid w:val="00561B2A"/>
    <w:rsid w:val="0056355B"/>
    <w:rsid w:val="005637E1"/>
    <w:rsid w:val="0056389F"/>
    <w:rsid w:val="00565C2F"/>
    <w:rsid w:val="00567D02"/>
    <w:rsid w:val="005710D8"/>
    <w:rsid w:val="00574BDC"/>
    <w:rsid w:val="00576C14"/>
    <w:rsid w:val="00577175"/>
    <w:rsid w:val="005779CE"/>
    <w:rsid w:val="00580646"/>
    <w:rsid w:val="00580D28"/>
    <w:rsid w:val="005832A3"/>
    <w:rsid w:val="0058359A"/>
    <w:rsid w:val="00583D3E"/>
    <w:rsid w:val="00584A34"/>
    <w:rsid w:val="00587888"/>
    <w:rsid w:val="0059044D"/>
    <w:rsid w:val="00591FFF"/>
    <w:rsid w:val="00593194"/>
    <w:rsid w:val="005931F7"/>
    <w:rsid w:val="00595326"/>
    <w:rsid w:val="00596F41"/>
    <w:rsid w:val="0059775D"/>
    <w:rsid w:val="005A1482"/>
    <w:rsid w:val="005A509B"/>
    <w:rsid w:val="005A551D"/>
    <w:rsid w:val="005A61B1"/>
    <w:rsid w:val="005A68FF"/>
    <w:rsid w:val="005A754A"/>
    <w:rsid w:val="005B2C6F"/>
    <w:rsid w:val="005B30E6"/>
    <w:rsid w:val="005B586D"/>
    <w:rsid w:val="005B66BE"/>
    <w:rsid w:val="005B670F"/>
    <w:rsid w:val="005B7AFB"/>
    <w:rsid w:val="005C4EC2"/>
    <w:rsid w:val="005C52AA"/>
    <w:rsid w:val="005C6574"/>
    <w:rsid w:val="005C750D"/>
    <w:rsid w:val="005D1985"/>
    <w:rsid w:val="005D1A14"/>
    <w:rsid w:val="005D3B65"/>
    <w:rsid w:val="005D4F6F"/>
    <w:rsid w:val="005D63E5"/>
    <w:rsid w:val="005D643D"/>
    <w:rsid w:val="005E00EA"/>
    <w:rsid w:val="005E11E4"/>
    <w:rsid w:val="005E61F8"/>
    <w:rsid w:val="005F12DA"/>
    <w:rsid w:val="005F1481"/>
    <w:rsid w:val="005F233F"/>
    <w:rsid w:val="005F7969"/>
    <w:rsid w:val="0060022A"/>
    <w:rsid w:val="006029CF"/>
    <w:rsid w:val="00602E82"/>
    <w:rsid w:val="00603D70"/>
    <w:rsid w:val="00603F56"/>
    <w:rsid w:val="0060482A"/>
    <w:rsid w:val="00605479"/>
    <w:rsid w:val="00610840"/>
    <w:rsid w:val="00611222"/>
    <w:rsid w:val="00615D49"/>
    <w:rsid w:val="006169CB"/>
    <w:rsid w:val="006173DD"/>
    <w:rsid w:val="00621F80"/>
    <w:rsid w:val="006242E5"/>
    <w:rsid w:val="0062650E"/>
    <w:rsid w:val="006265C6"/>
    <w:rsid w:val="00630153"/>
    <w:rsid w:val="006322E9"/>
    <w:rsid w:val="00634A49"/>
    <w:rsid w:val="00635013"/>
    <w:rsid w:val="00635442"/>
    <w:rsid w:val="00635866"/>
    <w:rsid w:val="00637B0D"/>
    <w:rsid w:val="00637E51"/>
    <w:rsid w:val="00640C63"/>
    <w:rsid w:val="00642738"/>
    <w:rsid w:val="00642835"/>
    <w:rsid w:val="0064375F"/>
    <w:rsid w:val="0064386B"/>
    <w:rsid w:val="00644E60"/>
    <w:rsid w:val="00646AE8"/>
    <w:rsid w:val="00651232"/>
    <w:rsid w:val="00651BDB"/>
    <w:rsid w:val="00652906"/>
    <w:rsid w:val="00654397"/>
    <w:rsid w:val="00654BDC"/>
    <w:rsid w:val="00654F80"/>
    <w:rsid w:val="00655547"/>
    <w:rsid w:val="0065559E"/>
    <w:rsid w:val="00661A80"/>
    <w:rsid w:val="00663914"/>
    <w:rsid w:val="006649AF"/>
    <w:rsid w:val="006657E9"/>
    <w:rsid w:val="0066752C"/>
    <w:rsid w:val="00667E4B"/>
    <w:rsid w:val="006704AD"/>
    <w:rsid w:val="00670B97"/>
    <w:rsid w:val="00670C45"/>
    <w:rsid w:val="00670E53"/>
    <w:rsid w:val="0067624A"/>
    <w:rsid w:val="00676AFF"/>
    <w:rsid w:val="0068082C"/>
    <w:rsid w:val="006826AA"/>
    <w:rsid w:val="0068328D"/>
    <w:rsid w:val="00690265"/>
    <w:rsid w:val="00690ACE"/>
    <w:rsid w:val="00691014"/>
    <w:rsid w:val="0069136D"/>
    <w:rsid w:val="006922FF"/>
    <w:rsid w:val="00693E6F"/>
    <w:rsid w:val="00693F5C"/>
    <w:rsid w:val="00695EF9"/>
    <w:rsid w:val="00696AE6"/>
    <w:rsid w:val="00696F42"/>
    <w:rsid w:val="006979FE"/>
    <w:rsid w:val="006A2D5F"/>
    <w:rsid w:val="006A4915"/>
    <w:rsid w:val="006A5680"/>
    <w:rsid w:val="006B05E4"/>
    <w:rsid w:val="006B1E7A"/>
    <w:rsid w:val="006B34F1"/>
    <w:rsid w:val="006B3913"/>
    <w:rsid w:val="006B4BB9"/>
    <w:rsid w:val="006B6DFD"/>
    <w:rsid w:val="006B740A"/>
    <w:rsid w:val="006B7CA1"/>
    <w:rsid w:val="006C354F"/>
    <w:rsid w:val="006C437D"/>
    <w:rsid w:val="006C56D4"/>
    <w:rsid w:val="006C586F"/>
    <w:rsid w:val="006C725F"/>
    <w:rsid w:val="006C7D26"/>
    <w:rsid w:val="006C7DD5"/>
    <w:rsid w:val="006D3EC8"/>
    <w:rsid w:val="006D4C07"/>
    <w:rsid w:val="006D5538"/>
    <w:rsid w:val="006D67D7"/>
    <w:rsid w:val="006D6D82"/>
    <w:rsid w:val="006E0B37"/>
    <w:rsid w:val="006E187A"/>
    <w:rsid w:val="006E1F1F"/>
    <w:rsid w:val="006E2778"/>
    <w:rsid w:val="006E68D8"/>
    <w:rsid w:val="006E7BE7"/>
    <w:rsid w:val="006E7E5E"/>
    <w:rsid w:val="006F22F7"/>
    <w:rsid w:val="006F3971"/>
    <w:rsid w:val="006F6CC2"/>
    <w:rsid w:val="006F7142"/>
    <w:rsid w:val="00701215"/>
    <w:rsid w:val="00703DE8"/>
    <w:rsid w:val="00705602"/>
    <w:rsid w:val="007058B0"/>
    <w:rsid w:val="0070630B"/>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103C"/>
    <w:rsid w:val="0072221F"/>
    <w:rsid w:val="00724576"/>
    <w:rsid w:val="00725899"/>
    <w:rsid w:val="00725E87"/>
    <w:rsid w:val="0073011C"/>
    <w:rsid w:val="00730A46"/>
    <w:rsid w:val="0073334B"/>
    <w:rsid w:val="00734A34"/>
    <w:rsid w:val="0074019E"/>
    <w:rsid w:val="00740959"/>
    <w:rsid w:val="00743597"/>
    <w:rsid w:val="007439F9"/>
    <w:rsid w:val="00744A96"/>
    <w:rsid w:val="00745D83"/>
    <w:rsid w:val="00747EBC"/>
    <w:rsid w:val="00751B64"/>
    <w:rsid w:val="007552D7"/>
    <w:rsid w:val="007560AB"/>
    <w:rsid w:val="00761ADE"/>
    <w:rsid w:val="00761E9A"/>
    <w:rsid w:val="00763D71"/>
    <w:rsid w:val="00764ECE"/>
    <w:rsid w:val="007663F7"/>
    <w:rsid w:val="007665DC"/>
    <w:rsid w:val="00767CD0"/>
    <w:rsid w:val="007720DA"/>
    <w:rsid w:val="00772528"/>
    <w:rsid w:val="00772F1C"/>
    <w:rsid w:val="007735BF"/>
    <w:rsid w:val="0077446B"/>
    <w:rsid w:val="00775E80"/>
    <w:rsid w:val="007763C2"/>
    <w:rsid w:val="00776434"/>
    <w:rsid w:val="007775D5"/>
    <w:rsid w:val="007801BA"/>
    <w:rsid w:val="00780601"/>
    <w:rsid w:val="00780660"/>
    <w:rsid w:val="00781273"/>
    <w:rsid w:val="00781561"/>
    <w:rsid w:val="00782EC4"/>
    <w:rsid w:val="00785C25"/>
    <w:rsid w:val="00785E0A"/>
    <w:rsid w:val="00791824"/>
    <w:rsid w:val="0079222A"/>
    <w:rsid w:val="00792529"/>
    <w:rsid w:val="00793042"/>
    <w:rsid w:val="00793B23"/>
    <w:rsid w:val="00794708"/>
    <w:rsid w:val="0079485E"/>
    <w:rsid w:val="00794B0E"/>
    <w:rsid w:val="00795E1A"/>
    <w:rsid w:val="007961AE"/>
    <w:rsid w:val="007A1F8F"/>
    <w:rsid w:val="007A20D2"/>
    <w:rsid w:val="007A4E43"/>
    <w:rsid w:val="007A5582"/>
    <w:rsid w:val="007A7DDA"/>
    <w:rsid w:val="007B0035"/>
    <w:rsid w:val="007B1FA2"/>
    <w:rsid w:val="007B2AE4"/>
    <w:rsid w:val="007B391F"/>
    <w:rsid w:val="007B575A"/>
    <w:rsid w:val="007B6644"/>
    <w:rsid w:val="007B787D"/>
    <w:rsid w:val="007C13AD"/>
    <w:rsid w:val="007C1AB7"/>
    <w:rsid w:val="007C2C1C"/>
    <w:rsid w:val="007C3342"/>
    <w:rsid w:val="007C358E"/>
    <w:rsid w:val="007C5199"/>
    <w:rsid w:val="007C5B1E"/>
    <w:rsid w:val="007C5E05"/>
    <w:rsid w:val="007C656F"/>
    <w:rsid w:val="007C6CB0"/>
    <w:rsid w:val="007C71FF"/>
    <w:rsid w:val="007C7535"/>
    <w:rsid w:val="007D06BA"/>
    <w:rsid w:val="007D132B"/>
    <w:rsid w:val="007D15E8"/>
    <w:rsid w:val="007D53FF"/>
    <w:rsid w:val="007E0A27"/>
    <w:rsid w:val="007E1540"/>
    <w:rsid w:val="007E3863"/>
    <w:rsid w:val="007E4D57"/>
    <w:rsid w:val="007E575E"/>
    <w:rsid w:val="007E7051"/>
    <w:rsid w:val="007E7875"/>
    <w:rsid w:val="007F1BDF"/>
    <w:rsid w:val="007F226E"/>
    <w:rsid w:val="007F3746"/>
    <w:rsid w:val="007F4FCA"/>
    <w:rsid w:val="007F57BB"/>
    <w:rsid w:val="007F5D57"/>
    <w:rsid w:val="007F7303"/>
    <w:rsid w:val="00805079"/>
    <w:rsid w:val="00805570"/>
    <w:rsid w:val="008068C0"/>
    <w:rsid w:val="00807498"/>
    <w:rsid w:val="00815722"/>
    <w:rsid w:val="00816593"/>
    <w:rsid w:val="00817A1A"/>
    <w:rsid w:val="0082423F"/>
    <w:rsid w:val="00825878"/>
    <w:rsid w:val="00825CF4"/>
    <w:rsid w:val="00826253"/>
    <w:rsid w:val="008276CE"/>
    <w:rsid w:val="008301A5"/>
    <w:rsid w:val="00830334"/>
    <w:rsid w:val="00831346"/>
    <w:rsid w:val="00831F7E"/>
    <w:rsid w:val="00832B89"/>
    <w:rsid w:val="00833B95"/>
    <w:rsid w:val="00835D64"/>
    <w:rsid w:val="00836172"/>
    <w:rsid w:val="0083618A"/>
    <w:rsid w:val="00836794"/>
    <w:rsid w:val="008372D8"/>
    <w:rsid w:val="00837FA3"/>
    <w:rsid w:val="00837FF3"/>
    <w:rsid w:val="00841340"/>
    <w:rsid w:val="0084250F"/>
    <w:rsid w:val="00844080"/>
    <w:rsid w:val="00846A59"/>
    <w:rsid w:val="00851F8C"/>
    <w:rsid w:val="008543A0"/>
    <w:rsid w:val="008545C8"/>
    <w:rsid w:val="00854CF7"/>
    <w:rsid w:val="00854D07"/>
    <w:rsid w:val="00854F4B"/>
    <w:rsid w:val="00855395"/>
    <w:rsid w:val="00855FB1"/>
    <w:rsid w:val="0085645C"/>
    <w:rsid w:val="00862DBF"/>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F50"/>
    <w:rsid w:val="008A6099"/>
    <w:rsid w:val="008A610C"/>
    <w:rsid w:val="008A6D18"/>
    <w:rsid w:val="008A7E48"/>
    <w:rsid w:val="008B00C3"/>
    <w:rsid w:val="008B3A9D"/>
    <w:rsid w:val="008B4DEF"/>
    <w:rsid w:val="008B742B"/>
    <w:rsid w:val="008B7B88"/>
    <w:rsid w:val="008C1B43"/>
    <w:rsid w:val="008C2401"/>
    <w:rsid w:val="008C26BE"/>
    <w:rsid w:val="008C2B6F"/>
    <w:rsid w:val="008C3C7A"/>
    <w:rsid w:val="008D1439"/>
    <w:rsid w:val="008D2034"/>
    <w:rsid w:val="008D2C1E"/>
    <w:rsid w:val="008D3DA7"/>
    <w:rsid w:val="008D6E1A"/>
    <w:rsid w:val="008D73D6"/>
    <w:rsid w:val="008D74C4"/>
    <w:rsid w:val="008E0126"/>
    <w:rsid w:val="008E0FA9"/>
    <w:rsid w:val="008E660A"/>
    <w:rsid w:val="008E7179"/>
    <w:rsid w:val="008E7FC0"/>
    <w:rsid w:val="008F1687"/>
    <w:rsid w:val="008F23B7"/>
    <w:rsid w:val="008F2692"/>
    <w:rsid w:val="008F34A8"/>
    <w:rsid w:val="008F4412"/>
    <w:rsid w:val="008F4CE0"/>
    <w:rsid w:val="00900A3B"/>
    <w:rsid w:val="00900BF2"/>
    <w:rsid w:val="00900EA8"/>
    <w:rsid w:val="009046C7"/>
    <w:rsid w:val="009129A6"/>
    <w:rsid w:val="00913FAD"/>
    <w:rsid w:val="009162B1"/>
    <w:rsid w:val="0091662E"/>
    <w:rsid w:val="0091663B"/>
    <w:rsid w:val="009166DD"/>
    <w:rsid w:val="00916CE1"/>
    <w:rsid w:val="0092207F"/>
    <w:rsid w:val="00924396"/>
    <w:rsid w:val="00924B42"/>
    <w:rsid w:val="009264FC"/>
    <w:rsid w:val="00932E40"/>
    <w:rsid w:val="009330A8"/>
    <w:rsid w:val="00936B42"/>
    <w:rsid w:val="00937065"/>
    <w:rsid w:val="00937238"/>
    <w:rsid w:val="00937686"/>
    <w:rsid w:val="00937833"/>
    <w:rsid w:val="009438CC"/>
    <w:rsid w:val="009439FA"/>
    <w:rsid w:val="00944BD0"/>
    <w:rsid w:val="00944D83"/>
    <w:rsid w:val="0094762D"/>
    <w:rsid w:val="00950D51"/>
    <w:rsid w:val="009521DD"/>
    <w:rsid w:val="00952343"/>
    <w:rsid w:val="00954893"/>
    <w:rsid w:val="009555C2"/>
    <w:rsid w:val="00957A08"/>
    <w:rsid w:val="0096038A"/>
    <w:rsid w:val="0096089A"/>
    <w:rsid w:val="00961025"/>
    <w:rsid w:val="009618A0"/>
    <w:rsid w:val="00963EEC"/>
    <w:rsid w:val="00963EFA"/>
    <w:rsid w:val="00964518"/>
    <w:rsid w:val="00964948"/>
    <w:rsid w:val="00964BD5"/>
    <w:rsid w:val="00966FAD"/>
    <w:rsid w:val="009705B0"/>
    <w:rsid w:val="009733BE"/>
    <w:rsid w:val="0097413E"/>
    <w:rsid w:val="00974AF6"/>
    <w:rsid w:val="00975D9F"/>
    <w:rsid w:val="00976620"/>
    <w:rsid w:val="00976DDB"/>
    <w:rsid w:val="00983BE9"/>
    <w:rsid w:val="00984B89"/>
    <w:rsid w:val="00990C17"/>
    <w:rsid w:val="00991F66"/>
    <w:rsid w:val="00992489"/>
    <w:rsid w:val="00994405"/>
    <w:rsid w:val="0099551D"/>
    <w:rsid w:val="00995C77"/>
    <w:rsid w:val="00996315"/>
    <w:rsid w:val="00996B12"/>
    <w:rsid w:val="00996F15"/>
    <w:rsid w:val="009975A1"/>
    <w:rsid w:val="009A0F05"/>
    <w:rsid w:val="009A0FD0"/>
    <w:rsid w:val="009A1AFC"/>
    <w:rsid w:val="009A380A"/>
    <w:rsid w:val="009A505A"/>
    <w:rsid w:val="009A6855"/>
    <w:rsid w:val="009A7287"/>
    <w:rsid w:val="009B1B6D"/>
    <w:rsid w:val="009B5180"/>
    <w:rsid w:val="009B7B2C"/>
    <w:rsid w:val="009B7FAB"/>
    <w:rsid w:val="009C01F1"/>
    <w:rsid w:val="009C180F"/>
    <w:rsid w:val="009C28A7"/>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9F7184"/>
    <w:rsid w:val="00A007F6"/>
    <w:rsid w:val="00A017E3"/>
    <w:rsid w:val="00A01B5B"/>
    <w:rsid w:val="00A01BF9"/>
    <w:rsid w:val="00A04009"/>
    <w:rsid w:val="00A04FC5"/>
    <w:rsid w:val="00A054B6"/>
    <w:rsid w:val="00A05AE2"/>
    <w:rsid w:val="00A06955"/>
    <w:rsid w:val="00A072DD"/>
    <w:rsid w:val="00A12B15"/>
    <w:rsid w:val="00A153C5"/>
    <w:rsid w:val="00A15A87"/>
    <w:rsid w:val="00A16D0C"/>
    <w:rsid w:val="00A16D7E"/>
    <w:rsid w:val="00A1739D"/>
    <w:rsid w:val="00A20355"/>
    <w:rsid w:val="00A23223"/>
    <w:rsid w:val="00A238E2"/>
    <w:rsid w:val="00A2546C"/>
    <w:rsid w:val="00A258B9"/>
    <w:rsid w:val="00A2591B"/>
    <w:rsid w:val="00A27022"/>
    <w:rsid w:val="00A27AED"/>
    <w:rsid w:val="00A27DE5"/>
    <w:rsid w:val="00A30034"/>
    <w:rsid w:val="00A35400"/>
    <w:rsid w:val="00A367BB"/>
    <w:rsid w:val="00A37DBF"/>
    <w:rsid w:val="00A40530"/>
    <w:rsid w:val="00A416E1"/>
    <w:rsid w:val="00A44F50"/>
    <w:rsid w:val="00A452A8"/>
    <w:rsid w:val="00A46C74"/>
    <w:rsid w:val="00A474E2"/>
    <w:rsid w:val="00A47D80"/>
    <w:rsid w:val="00A515BE"/>
    <w:rsid w:val="00A5184B"/>
    <w:rsid w:val="00A5513A"/>
    <w:rsid w:val="00A576CA"/>
    <w:rsid w:val="00A60053"/>
    <w:rsid w:val="00A6057F"/>
    <w:rsid w:val="00A64DCC"/>
    <w:rsid w:val="00A6534D"/>
    <w:rsid w:val="00A66A27"/>
    <w:rsid w:val="00A66BC4"/>
    <w:rsid w:val="00A67001"/>
    <w:rsid w:val="00A704A1"/>
    <w:rsid w:val="00A70A09"/>
    <w:rsid w:val="00A73793"/>
    <w:rsid w:val="00A740AB"/>
    <w:rsid w:val="00A7560C"/>
    <w:rsid w:val="00A776BD"/>
    <w:rsid w:val="00A81CDA"/>
    <w:rsid w:val="00A8334D"/>
    <w:rsid w:val="00A83776"/>
    <w:rsid w:val="00A840B7"/>
    <w:rsid w:val="00A84138"/>
    <w:rsid w:val="00A84DFF"/>
    <w:rsid w:val="00A8604C"/>
    <w:rsid w:val="00A86072"/>
    <w:rsid w:val="00A90777"/>
    <w:rsid w:val="00A92CA5"/>
    <w:rsid w:val="00A95D4D"/>
    <w:rsid w:val="00A965AC"/>
    <w:rsid w:val="00A97570"/>
    <w:rsid w:val="00A9766A"/>
    <w:rsid w:val="00AA3688"/>
    <w:rsid w:val="00AA488B"/>
    <w:rsid w:val="00AA4E30"/>
    <w:rsid w:val="00AA6471"/>
    <w:rsid w:val="00AA7A72"/>
    <w:rsid w:val="00AA7F1C"/>
    <w:rsid w:val="00AB056B"/>
    <w:rsid w:val="00AB3417"/>
    <w:rsid w:val="00AB3B50"/>
    <w:rsid w:val="00AB7903"/>
    <w:rsid w:val="00AC060F"/>
    <w:rsid w:val="00AC0AFA"/>
    <w:rsid w:val="00AC1072"/>
    <w:rsid w:val="00AC1B1A"/>
    <w:rsid w:val="00AC2720"/>
    <w:rsid w:val="00AC2BBE"/>
    <w:rsid w:val="00AC503B"/>
    <w:rsid w:val="00AC5C9E"/>
    <w:rsid w:val="00AC63C2"/>
    <w:rsid w:val="00AD087C"/>
    <w:rsid w:val="00AD0A79"/>
    <w:rsid w:val="00AD1467"/>
    <w:rsid w:val="00AD206E"/>
    <w:rsid w:val="00AD3EC6"/>
    <w:rsid w:val="00AE0D52"/>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FD6"/>
    <w:rsid w:val="00B03A0E"/>
    <w:rsid w:val="00B106F1"/>
    <w:rsid w:val="00B125C6"/>
    <w:rsid w:val="00B12FC9"/>
    <w:rsid w:val="00B17DB7"/>
    <w:rsid w:val="00B200EB"/>
    <w:rsid w:val="00B20BA2"/>
    <w:rsid w:val="00B2152B"/>
    <w:rsid w:val="00B21829"/>
    <w:rsid w:val="00B2225A"/>
    <w:rsid w:val="00B2367C"/>
    <w:rsid w:val="00B30B24"/>
    <w:rsid w:val="00B33ECD"/>
    <w:rsid w:val="00B37CD4"/>
    <w:rsid w:val="00B40218"/>
    <w:rsid w:val="00B43EEE"/>
    <w:rsid w:val="00B442FD"/>
    <w:rsid w:val="00B45843"/>
    <w:rsid w:val="00B458E8"/>
    <w:rsid w:val="00B469AA"/>
    <w:rsid w:val="00B469DA"/>
    <w:rsid w:val="00B502B8"/>
    <w:rsid w:val="00B51C5A"/>
    <w:rsid w:val="00B52653"/>
    <w:rsid w:val="00B5452D"/>
    <w:rsid w:val="00B55AD9"/>
    <w:rsid w:val="00B56F0F"/>
    <w:rsid w:val="00B577A0"/>
    <w:rsid w:val="00B609AC"/>
    <w:rsid w:val="00B6137E"/>
    <w:rsid w:val="00B64016"/>
    <w:rsid w:val="00B64071"/>
    <w:rsid w:val="00B64447"/>
    <w:rsid w:val="00B647F0"/>
    <w:rsid w:val="00B6523D"/>
    <w:rsid w:val="00B65BC4"/>
    <w:rsid w:val="00B66F3F"/>
    <w:rsid w:val="00B6730E"/>
    <w:rsid w:val="00B70651"/>
    <w:rsid w:val="00B7066A"/>
    <w:rsid w:val="00B70D20"/>
    <w:rsid w:val="00B70D82"/>
    <w:rsid w:val="00B73E64"/>
    <w:rsid w:val="00B74CC4"/>
    <w:rsid w:val="00B751AC"/>
    <w:rsid w:val="00B813F7"/>
    <w:rsid w:val="00B8162E"/>
    <w:rsid w:val="00B84236"/>
    <w:rsid w:val="00B87202"/>
    <w:rsid w:val="00B92EEF"/>
    <w:rsid w:val="00B9498D"/>
    <w:rsid w:val="00B95539"/>
    <w:rsid w:val="00B95D5C"/>
    <w:rsid w:val="00BA0703"/>
    <w:rsid w:val="00BA1EEA"/>
    <w:rsid w:val="00BA1F3F"/>
    <w:rsid w:val="00BA5197"/>
    <w:rsid w:val="00BA5AB4"/>
    <w:rsid w:val="00BA77F1"/>
    <w:rsid w:val="00BA7DC9"/>
    <w:rsid w:val="00BA7F59"/>
    <w:rsid w:val="00BB32A6"/>
    <w:rsid w:val="00BB5941"/>
    <w:rsid w:val="00BC07C4"/>
    <w:rsid w:val="00BC5A83"/>
    <w:rsid w:val="00BC65CF"/>
    <w:rsid w:val="00BC6E1A"/>
    <w:rsid w:val="00BD01D8"/>
    <w:rsid w:val="00BD2883"/>
    <w:rsid w:val="00BD340D"/>
    <w:rsid w:val="00BD379E"/>
    <w:rsid w:val="00BD4D3C"/>
    <w:rsid w:val="00BD5A63"/>
    <w:rsid w:val="00BD5AAA"/>
    <w:rsid w:val="00BD64A0"/>
    <w:rsid w:val="00BE2605"/>
    <w:rsid w:val="00BE31A9"/>
    <w:rsid w:val="00BE3356"/>
    <w:rsid w:val="00BE3EFA"/>
    <w:rsid w:val="00BE3FD1"/>
    <w:rsid w:val="00BE420B"/>
    <w:rsid w:val="00BE6D37"/>
    <w:rsid w:val="00BE77A0"/>
    <w:rsid w:val="00BE7890"/>
    <w:rsid w:val="00BF00D1"/>
    <w:rsid w:val="00BF03A1"/>
    <w:rsid w:val="00BF1443"/>
    <w:rsid w:val="00BF218B"/>
    <w:rsid w:val="00BF5693"/>
    <w:rsid w:val="00BF6B30"/>
    <w:rsid w:val="00C0094D"/>
    <w:rsid w:val="00C01074"/>
    <w:rsid w:val="00C013C1"/>
    <w:rsid w:val="00C04709"/>
    <w:rsid w:val="00C1155C"/>
    <w:rsid w:val="00C11F23"/>
    <w:rsid w:val="00C131F4"/>
    <w:rsid w:val="00C1359A"/>
    <w:rsid w:val="00C14011"/>
    <w:rsid w:val="00C168DF"/>
    <w:rsid w:val="00C17131"/>
    <w:rsid w:val="00C17C5B"/>
    <w:rsid w:val="00C225DA"/>
    <w:rsid w:val="00C246B2"/>
    <w:rsid w:val="00C26AEC"/>
    <w:rsid w:val="00C310B9"/>
    <w:rsid w:val="00C3143C"/>
    <w:rsid w:val="00C31874"/>
    <w:rsid w:val="00C32831"/>
    <w:rsid w:val="00C32C92"/>
    <w:rsid w:val="00C32FFA"/>
    <w:rsid w:val="00C34503"/>
    <w:rsid w:val="00C3484D"/>
    <w:rsid w:val="00C3686A"/>
    <w:rsid w:val="00C416B4"/>
    <w:rsid w:val="00C43FD5"/>
    <w:rsid w:val="00C4722F"/>
    <w:rsid w:val="00C47746"/>
    <w:rsid w:val="00C5180D"/>
    <w:rsid w:val="00C52762"/>
    <w:rsid w:val="00C5277C"/>
    <w:rsid w:val="00C53690"/>
    <w:rsid w:val="00C53E33"/>
    <w:rsid w:val="00C55C09"/>
    <w:rsid w:val="00C63DD6"/>
    <w:rsid w:val="00C64229"/>
    <w:rsid w:val="00C64DE5"/>
    <w:rsid w:val="00C66C06"/>
    <w:rsid w:val="00C66C8E"/>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4DED"/>
    <w:rsid w:val="00C9534C"/>
    <w:rsid w:val="00C955FD"/>
    <w:rsid w:val="00C956CE"/>
    <w:rsid w:val="00C95CA7"/>
    <w:rsid w:val="00CA4760"/>
    <w:rsid w:val="00CA492F"/>
    <w:rsid w:val="00CA73FC"/>
    <w:rsid w:val="00CA7531"/>
    <w:rsid w:val="00CA7FAB"/>
    <w:rsid w:val="00CB1755"/>
    <w:rsid w:val="00CB1DE6"/>
    <w:rsid w:val="00CB270A"/>
    <w:rsid w:val="00CB3A3F"/>
    <w:rsid w:val="00CB3C6E"/>
    <w:rsid w:val="00CB4055"/>
    <w:rsid w:val="00CB4B99"/>
    <w:rsid w:val="00CB6372"/>
    <w:rsid w:val="00CB7334"/>
    <w:rsid w:val="00CB762B"/>
    <w:rsid w:val="00CC0ACA"/>
    <w:rsid w:val="00CC1C7B"/>
    <w:rsid w:val="00CC3FC1"/>
    <w:rsid w:val="00CC459D"/>
    <w:rsid w:val="00CC5470"/>
    <w:rsid w:val="00CC675A"/>
    <w:rsid w:val="00CC77E4"/>
    <w:rsid w:val="00CD1311"/>
    <w:rsid w:val="00CD2B04"/>
    <w:rsid w:val="00CD2FC9"/>
    <w:rsid w:val="00CD402C"/>
    <w:rsid w:val="00CD577E"/>
    <w:rsid w:val="00CD6DAE"/>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5E95"/>
    <w:rsid w:val="00D16793"/>
    <w:rsid w:val="00D169FF"/>
    <w:rsid w:val="00D16DFA"/>
    <w:rsid w:val="00D17298"/>
    <w:rsid w:val="00D17C24"/>
    <w:rsid w:val="00D17F75"/>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6065"/>
    <w:rsid w:val="00D56E35"/>
    <w:rsid w:val="00D648E2"/>
    <w:rsid w:val="00D64FD7"/>
    <w:rsid w:val="00D71634"/>
    <w:rsid w:val="00D7191C"/>
    <w:rsid w:val="00D73F72"/>
    <w:rsid w:val="00D7599C"/>
    <w:rsid w:val="00D75BCA"/>
    <w:rsid w:val="00D832B1"/>
    <w:rsid w:val="00D83465"/>
    <w:rsid w:val="00D84D01"/>
    <w:rsid w:val="00D85E48"/>
    <w:rsid w:val="00D86446"/>
    <w:rsid w:val="00D8687A"/>
    <w:rsid w:val="00D8788E"/>
    <w:rsid w:val="00D87B48"/>
    <w:rsid w:val="00D90372"/>
    <w:rsid w:val="00D91166"/>
    <w:rsid w:val="00D91860"/>
    <w:rsid w:val="00D93A70"/>
    <w:rsid w:val="00D96177"/>
    <w:rsid w:val="00D978A4"/>
    <w:rsid w:val="00DA0DFD"/>
    <w:rsid w:val="00DA0E96"/>
    <w:rsid w:val="00DA2937"/>
    <w:rsid w:val="00DA2D89"/>
    <w:rsid w:val="00DA4074"/>
    <w:rsid w:val="00DA7F8B"/>
    <w:rsid w:val="00DB0F91"/>
    <w:rsid w:val="00DB1790"/>
    <w:rsid w:val="00DB19C9"/>
    <w:rsid w:val="00DB4163"/>
    <w:rsid w:val="00DB41C9"/>
    <w:rsid w:val="00DB6A59"/>
    <w:rsid w:val="00DB6BC7"/>
    <w:rsid w:val="00DB774F"/>
    <w:rsid w:val="00DC2B97"/>
    <w:rsid w:val="00DC2E00"/>
    <w:rsid w:val="00DC44DA"/>
    <w:rsid w:val="00DC4B28"/>
    <w:rsid w:val="00DC4EC1"/>
    <w:rsid w:val="00DC5128"/>
    <w:rsid w:val="00DC5214"/>
    <w:rsid w:val="00DC7074"/>
    <w:rsid w:val="00DC740A"/>
    <w:rsid w:val="00DD0114"/>
    <w:rsid w:val="00DD0B94"/>
    <w:rsid w:val="00DD1B9E"/>
    <w:rsid w:val="00DD4B5A"/>
    <w:rsid w:val="00DD4BE5"/>
    <w:rsid w:val="00DD5971"/>
    <w:rsid w:val="00DD7008"/>
    <w:rsid w:val="00DE2A35"/>
    <w:rsid w:val="00DE4EA1"/>
    <w:rsid w:val="00DE6B18"/>
    <w:rsid w:val="00DE74F0"/>
    <w:rsid w:val="00DE75A9"/>
    <w:rsid w:val="00DF5C48"/>
    <w:rsid w:val="00DF656B"/>
    <w:rsid w:val="00DF66F5"/>
    <w:rsid w:val="00DF7ABC"/>
    <w:rsid w:val="00E00114"/>
    <w:rsid w:val="00E0279C"/>
    <w:rsid w:val="00E02E71"/>
    <w:rsid w:val="00E059B7"/>
    <w:rsid w:val="00E05E81"/>
    <w:rsid w:val="00E0601A"/>
    <w:rsid w:val="00E10D5F"/>
    <w:rsid w:val="00E112A2"/>
    <w:rsid w:val="00E13F06"/>
    <w:rsid w:val="00E153E2"/>
    <w:rsid w:val="00E174DF"/>
    <w:rsid w:val="00E20144"/>
    <w:rsid w:val="00E26DEB"/>
    <w:rsid w:val="00E27373"/>
    <w:rsid w:val="00E30046"/>
    <w:rsid w:val="00E30BA8"/>
    <w:rsid w:val="00E31782"/>
    <w:rsid w:val="00E33C3C"/>
    <w:rsid w:val="00E34167"/>
    <w:rsid w:val="00E40CDF"/>
    <w:rsid w:val="00E415EC"/>
    <w:rsid w:val="00E43B33"/>
    <w:rsid w:val="00E43ECB"/>
    <w:rsid w:val="00E4580F"/>
    <w:rsid w:val="00E467EB"/>
    <w:rsid w:val="00E50CA5"/>
    <w:rsid w:val="00E5501B"/>
    <w:rsid w:val="00E558F1"/>
    <w:rsid w:val="00E55D6F"/>
    <w:rsid w:val="00E55F81"/>
    <w:rsid w:val="00E5634B"/>
    <w:rsid w:val="00E56B30"/>
    <w:rsid w:val="00E56E5C"/>
    <w:rsid w:val="00E60714"/>
    <w:rsid w:val="00E61ABA"/>
    <w:rsid w:val="00E63331"/>
    <w:rsid w:val="00E63A0F"/>
    <w:rsid w:val="00E65BE5"/>
    <w:rsid w:val="00E67D28"/>
    <w:rsid w:val="00E7084F"/>
    <w:rsid w:val="00E7152C"/>
    <w:rsid w:val="00E72695"/>
    <w:rsid w:val="00E7321B"/>
    <w:rsid w:val="00E73AC6"/>
    <w:rsid w:val="00E766E8"/>
    <w:rsid w:val="00E81872"/>
    <w:rsid w:val="00E8311C"/>
    <w:rsid w:val="00E83BBD"/>
    <w:rsid w:val="00E87731"/>
    <w:rsid w:val="00E92121"/>
    <w:rsid w:val="00E92125"/>
    <w:rsid w:val="00E94892"/>
    <w:rsid w:val="00E96099"/>
    <w:rsid w:val="00E965BD"/>
    <w:rsid w:val="00EA0092"/>
    <w:rsid w:val="00EA0AF0"/>
    <w:rsid w:val="00EA15E6"/>
    <w:rsid w:val="00EA35E1"/>
    <w:rsid w:val="00EA3DD8"/>
    <w:rsid w:val="00EA6513"/>
    <w:rsid w:val="00EA7AD3"/>
    <w:rsid w:val="00EB0F90"/>
    <w:rsid w:val="00EB14F9"/>
    <w:rsid w:val="00EB15FC"/>
    <w:rsid w:val="00EB5731"/>
    <w:rsid w:val="00EB71FC"/>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DDD"/>
    <w:rsid w:val="00EE659B"/>
    <w:rsid w:val="00EF0889"/>
    <w:rsid w:val="00EF1974"/>
    <w:rsid w:val="00EF1F1E"/>
    <w:rsid w:val="00EF2A51"/>
    <w:rsid w:val="00EF4808"/>
    <w:rsid w:val="00EF48C8"/>
    <w:rsid w:val="00EF6007"/>
    <w:rsid w:val="00EF666C"/>
    <w:rsid w:val="00EF6BA2"/>
    <w:rsid w:val="00EF70E1"/>
    <w:rsid w:val="00EF7F65"/>
    <w:rsid w:val="00F000BB"/>
    <w:rsid w:val="00F01A46"/>
    <w:rsid w:val="00F07CBE"/>
    <w:rsid w:val="00F103D4"/>
    <w:rsid w:val="00F10E7B"/>
    <w:rsid w:val="00F11FAC"/>
    <w:rsid w:val="00F1251D"/>
    <w:rsid w:val="00F129E3"/>
    <w:rsid w:val="00F14CB4"/>
    <w:rsid w:val="00F1761E"/>
    <w:rsid w:val="00F2299F"/>
    <w:rsid w:val="00F23077"/>
    <w:rsid w:val="00F2452C"/>
    <w:rsid w:val="00F24612"/>
    <w:rsid w:val="00F24DAF"/>
    <w:rsid w:val="00F24F87"/>
    <w:rsid w:val="00F250B9"/>
    <w:rsid w:val="00F256CE"/>
    <w:rsid w:val="00F2770A"/>
    <w:rsid w:val="00F32444"/>
    <w:rsid w:val="00F329AA"/>
    <w:rsid w:val="00F32D3F"/>
    <w:rsid w:val="00F35D9E"/>
    <w:rsid w:val="00F372C4"/>
    <w:rsid w:val="00F404AD"/>
    <w:rsid w:val="00F41278"/>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5446"/>
    <w:rsid w:val="00F66962"/>
    <w:rsid w:val="00F71902"/>
    <w:rsid w:val="00F71BC1"/>
    <w:rsid w:val="00F73381"/>
    <w:rsid w:val="00F75964"/>
    <w:rsid w:val="00F77223"/>
    <w:rsid w:val="00F8022C"/>
    <w:rsid w:val="00F83826"/>
    <w:rsid w:val="00F847C2"/>
    <w:rsid w:val="00F85BE4"/>
    <w:rsid w:val="00F86DBA"/>
    <w:rsid w:val="00F9099A"/>
    <w:rsid w:val="00F90FBC"/>
    <w:rsid w:val="00F91B6A"/>
    <w:rsid w:val="00F92C78"/>
    <w:rsid w:val="00F930FA"/>
    <w:rsid w:val="00F9467C"/>
    <w:rsid w:val="00F94AC5"/>
    <w:rsid w:val="00F94BE6"/>
    <w:rsid w:val="00F95D64"/>
    <w:rsid w:val="00F9699E"/>
    <w:rsid w:val="00F96B9E"/>
    <w:rsid w:val="00F9737F"/>
    <w:rsid w:val="00FA1901"/>
    <w:rsid w:val="00FA2A78"/>
    <w:rsid w:val="00FA35E4"/>
    <w:rsid w:val="00FA49B9"/>
    <w:rsid w:val="00FA4D26"/>
    <w:rsid w:val="00FA524A"/>
    <w:rsid w:val="00FA63AD"/>
    <w:rsid w:val="00FA6F77"/>
    <w:rsid w:val="00FB1AC0"/>
    <w:rsid w:val="00FB1B0E"/>
    <w:rsid w:val="00FB21CF"/>
    <w:rsid w:val="00FB4162"/>
    <w:rsid w:val="00FB42E3"/>
    <w:rsid w:val="00FB7FF6"/>
    <w:rsid w:val="00FC1427"/>
    <w:rsid w:val="00FC179E"/>
    <w:rsid w:val="00FC185F"/>
    <w:rsid w:val="00FC243A"/>
    <w:rsid w:val="00FC3973"/>
    <w:rsid w:val="00FC3C0A"/>
    <w:rsid w:val="00FC7160"/>
    <w:rsid w:val="00FD009B"/>
    <w:rsid w:val="00FD0BE1"/>
    <w:rsid w:val="00FD0E00"/>
    <w:rsid w:val="00FD208D"/>
    <w:rsid w:val="00FD2098"/>
    <w:rsid w:val="00FD302F"/>
    <w:rsid w:val="00FD3925"/>
    <w:rsid w:val="00FD6E34"/>
    <w:rsid w:val="00FD7DCA"/>
    <w:rsid w:val="00FE03E2"/>
    <w:rsid w:val="00FE3CBD"/>
    <w:rsid w:val="00FE4486"/>
    <w:rsid w:val="00FE6997"/>
    <w:rsid w:val="00FF0468"/>
    <w:rsid w:val="00FF04C5"/>
    <w:rsid w:val="00FF1A6D"/>
    <w:rsid w:val="00FF203E"/>
    <w:rsid w:val="00FF20E9"/>
    <w:rsid w:val="00FF4AF8"/>
    <w:rsid w:val="00FF5585"/>
    <w:rsid w:val="00FF5DD3"/>
    <w:rsid w:val="00FF661C"/>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AD"/>
    <w:pPr>
      <w:spacing w:after="200" w:line="276" w:lineRule="auto"/>
    </w:pPr>
    <w:rPr>
      <w:sz w:val="22"/>
      <w:szCs w:val="22"/>
      <w:lang w:eastAsia="en-US"/>
    </w:rPr>
  </w:style>
  <w:style w:type="paragraph" w:styleId="Heading1">
    <w:name w:val="heading 1"/>
    <w:basedOn w:val="Normal"/>
    <w:next w:val="Normal"/>
    <w:link w:val="Heading1Char"/>
    <w:uiPriority w:val="9"/>
    <w:qFormat/>
    <w:rsid w:val="001934E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2A"/>
    <w:rPr>
      <w:color w:val="0000FF"/>
      <w:u w:val="single"/>
    </w:rPr>
  </w:style>
  <w:style w:type="paragraph" w:styleId="ListParagraph">
    <w:name w:val="List Paragraph"/>
    <w:basedOn w:val="Normal"/>
    <w:uiPriority w:val="34"/>
    <w:qFormat/>
    <w:rsid w:val="00D93A70"/>
    <w:pPr>
      <w:ind w:left="720"/>
      <w:contextualSpacing/>
    </w:pPr>
  </w:style>
  <w:style w:type="paragraph" w:styleId="BalloonText">
    <w:name w:val="Balloon Text"/>
    <w:basedOn w:val="Normal"/>
    <w:link w:val="BalloonTextChar"/>
    <w:uiPriority w:val="99"/>
    <w:semiHidden/>
    <w:unhideWhenUsed/>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05"/>
    <w:rPr>
      <w:rFonts w:ascii="Tahoma" w:hAnsi="Tahoma" w:cs="Tahoma"/>
      <w:sz w:val="16"/>
      <w:szCs w:val="16"/>
    </w:rPr>
  </w:style>
  <w:style w:type="character" w:styleId="CommentReference">
    <w:name w:val="annotation reference"/>
    <w:basedOn w:val="DefaultParagraphFont"/>
    <w:uiPriority w:val="99"/>
    <w:semiHidden/>
    <w:unhideWhenUsed/>
    <w:rsid w:val="00BD01D8"/>
    <w:rPr>
      <w:sz w:val="16"/>
      <w:szCs w:val="16"/>
    </w:rPr>
  </w:style>
  <w:style w:type="paragraph" w:styleId="CommentText">
    <w:name w:val="annotation text"/>
    <w:basedOn w:val="Normal"/>
    <w:link w:val="CommentTextChar"/>
    <w:uiPriority w:val="99"/>
    <w:semiHidden/>
    <w:unhideWhenUsed/>
    <w:rsid w:val="00BD01D8"/>
    <w:rPr>
      <w:sz w:val="20"/>
      <w:szCs w:val="20"/>
    </w:rPr>
  </w:style>
  <w:style w:type="character" w:customStyle="1" w:styleId="CommentTextChar">
    <w:name w:val="Comment Text Char"/>
    <w:basedOn w:val="DefaultParagraphFont"/>
    <w:link w:val="CommentText"/>
    <w:uiPriority w:val="99"/>
    <w:semiHidden/>
    <w:rsid w:val="00BD01D8"/>
    <w:rPr>
      <w:lang w:eastAsia="en-US"/>
    </w:rPr>
  </w:style>
  <w:style w:type="paragraph" w:styleId="CommentSubject">
    <w:name w:val="annotation subject"/>
    <w:basedOn w:val="CommentText"/>
    <w:next w:val="CommentText"/>
    <w:link w:val="CommentSubjectChar"/>
    <w:uiPriority w:val="99"/>
    <w:semiHidden/>
    <w:unhideWhenUsed/>
    <w:rsid w:val="00BD01D8"/>
    <w:rPr>
      <w:b/>
      <w:bCs/>
    </w:rPr>
  </w:style>
  <w:style w:type="character" w:customStyle="1" w:styleId="CommentSubjectChar">
    <w:name w:val="Comment Subject Char"/>
    <w:basedOn w:val="CommentTextChar"/>
    <w:link w:val="CommentSubject"/>
    <w:uiPriority w:val="99"/>
    <w:semiHidden/>
    <w:rsid w:val="00BD01D8"/>
    <w:rPr>
      <w:b/>
      <w:bCs/>
    </w:rPr>
  </w:style>
  <w:style w:type="character" w:styleId="FollowedHyperlink">
    <w:name w:val="FollowedHyperlink"/>
    <w:basedOn w:val="DefaultParagraphFont"/>
    <w:uiPriority w:val="99"/>
    <w:semiHidden/>
    <w:unhideWhenUsed/>
    <w:rsid w:val="00693E6F"/>
    <w:rPr>
      <w:color w:val="800080"/>
      <w:u w:val="single"/>
    </w:rPr>
  </w:style>
  <w:style w:type="character" w:customStyle="1" w:styleId="Heading1Char">
    <w:name w:val="Heading 1 Char"/>
    <w:basedOn w:val="DefaultParagraphFont"/>
    <w:link w:val="Heading1"/>
    <w:uiPriority w:val="9"/>
    <w:rsid w:val="001934EC"/>
    <w:rPr>
      <w:rFonts w:ascii="Cambria" w:eastAsia="Times New Roman" w:hAnsi="Cambria" w:cs="Times New Roman"/>
      <w:b/>
      <w:bCs/>
      <w:kern w:val="32"/>
      <w:sz w:val="32"/>
      <w:szCs w:val="32"/>
      <w:lang w:eastAsia="en-US"/>
    </w:rPr>
  </w:style>
  <w:style w:type="paragraph" w:styleId="Header">
    <w:name w:val="header"/>
    <w:basedOn w:val="Normal"/>
    <w:link w:val="HeaderChar"/>
    <w:uiPriority w:val="99"/>
    <w:semiHidden/>
    <w:unhideWhenUsed/>
    <w:rsid w:val="00157A96"/>
    <w:pPr>
      <w:tabs>
        <w:tab w:val="center" w:pos="4513"/>
        <w:tab w:val="right" w:pos="9026"/>
      </w:tabs>
    </w:pPr>
  </w:style>
  <w:style w:type="character" w:customStyle="1" w:styleId="HeaderChar">
    <w:name w:val="Header Char"/>
    <w:basedOn w:val="DefaultParagraphFont"/>
    <w:link w:val="Header"/>
    <w:uiPriority w:val="99"/>
    <w:semiHidden/>
    <w:rsid w:val="00157A96"/>
    <w:rPr>
      <w:sz w:val="22"/>
      <w:szCs w:val="22"/>
      <w:lang w:eastAsia="en-US"/>
    </w:rPr>
  </w:style>
  <w:style w:type="paragraph" w:styleId="Footer">
    <w:name w:val="footer"/>
    <w:basedOn w:val="Normal"/>
    <w:link w:val="FooterChar"/>
    <w:uiPriority w:val="99"/>
    <w:unhideWhenUsed/>
    <w:rsid w:val="00157A96"/>
    <w:pPr>
      <w:tabs>
        <w:tab w:val="center" w:pos="4513"/>
        <w:tab w:val="right" w:pos="9026"/>
      </w:tabs>
    </w:pPr>
  </w:style>
  <w:style w:type="character" w:customStyle="1" w:styleId="FooterChar">
    <w:name w:val="Footer Char"/>
    <w:basedOn w:val="DefaultParagraphFont"/>
    <w:link w:val="Footer"/>
    <w:uiPriority w:val="99"/>
    <w:rsid w:val="00157A96"/>
    <w:rPr>
      <w:sz w:val="22"/>
      <w:szCs w:val="22"/>
      <w:lang w:eastAsia="en-US"/>
    </w:rPr>
  </w:style>
  <w:style w:type="paragraph" w:styleId="FootnoteText">
    <w:name w:val="footnote text"/>
    <w:basedOn w:val="Normal"/>
    <w:link w:val="FootnoteTextChar"/>
    <w:uiPriority w:val="99"/>
    <w:semiHidden/>
    <w:unhideWhenUsed/>
    <w:rsid w:val="00036F16"/>
    <w:rPr>
      <w:sz w:val="20"/>
      <w:szCs w:val="20"/>
    </w:rPr>
  </w:style>
  <w:style w:type="character" w:customStyle="1" w:styleId="FootnoteTextChar">
    <w:name w:val="Footnote Text Char"/>
    <w:basedOn w:val="DefaultParagraphFont"/>
    <w:link w:val="FootnoteText"/>
    <w:uiPriority w:val="99"/>
    <w:semiHidden/>
    <w:rsid w:val="00036F16"/>
    <w:rPr>
      <w:lang w:eastAsia="en-US"/>
    </w:rPr>
  </w:style>
  <w:style w:type="character" w:styleId="FootnoteReference">
    <w:name w:val="footnote reference"/>
    <w:basedOn w:val="DefaultParagraphFont"/>
    <w:uiPriority w:val="99"/>
    <w:semiHidden/>
    <w:unhideWhenUsed/>
    <w:rsid w:val="00036F16"/>
    <w:rPr>
      <w:vertAlign w:val="superscript"/>
    </w:rPr>
  </w:style>
</w:styles>
</file>

<file path=word/webSettings.xml><?xml version="1.0" encoding="utf-8"?>
<w:webSettings xmlns:r="http://schemas.openxmlformats.org/officeDocument/2006/relationships" xmlns:w="http://schemas.openxmlformats.org/wordprocessingml/2006/main">
  <w:divs>
    <w:div w:id="1228148031">
      <w:bodyDiv w:val="1"/>
      <w:marLeft w:val="0"/>
      <w:marRight w:val="0"/>
      <w:marTop w:val="0"/>
      <w:marBottom w:val="0"/>
      <w:divBdr>
        <w:top w:val="none" w:sz="0" w:space="0" w:color="auto"/>
        <w:left w:val="none" w:sz="0" w:space="0" w:color="auto"/>
        <w:bottom w:val="none" w:sz="0" w:space="0" w:color="auto"/>
        <w:right w:val="none" w:sz="0" w:space="0" w:color="auto"/>
      </w:divBdr>
    </w:div>
    <w:div w:id="20984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9013</Characters>
  <Application>Microsoft Office Word</Application>
  <DocSecurity>4</DocSecurity>
  <Lines>75</Lines>
  <Paragraphs>21</Paragraphs>
  <ScaleCrop>false</ScaleCrop>
  <Company/>
  <LinksUpToDate>false</LinksUpToDate>
  <CharactersWithSpaces>10573</CharactersWithSpaces>
  <SharedDoc>false</SharedDoc>
  <HLinks>
    <vt:vector size="6" baseType="variant">
      <vt:variant>
        <vt:i4>5242884</vt:i4>
      </vt:variant>
      <vt:variant>
        <vt:i4>0</vt:i4>
      </vt:variant>
      <vt:variant>
        <vt:i4>0</vt:i4>
      </vt:variant>
      <vt:variant>
        <vt:i4>5</vt:i4>
      </vt:variant>
      <vt:variant>
        <vt:lpwstr>http://www.aer.gov.au/node/18864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2013-04-04T02:20:00Z</dcterms:created>
  <dcterms:modified xsi:type="dcterms:W3CDTF">2013-04-04T02:20:00Z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H:\TRIMDATA\TRIM\TEMP\CONTEXT.4512\D13 31197[V2]  AER - expenditure workshop no. 4 meeting summary - DNSP replacement and augmentation capex - 8 March 2013.DOCX</vt:lpwstr>
  </property>
</Properties>
</file>